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642E5F71" w:rsidR="004F1918" w:rsidRPr="004F1918" w:rsidRDefault="00876ED4" w:rsidP="004F1918">
            <w:pPr>
              <w:pStyle w:val="M7"/>
              <w:framePr w:wrap="auto" w:vAnchor="margin" w:hAnchor="text" w:xAlign="left" w:yAlign="inline"/>
              <w:suppressOverlap w:val="0"/>
              <w:rPr>
                <w:b w:val="0"/>
                <w:sz w:val="18"/>
                <w:szCs w:val="18"/>
                <w:lang w:val="en-US"/>
              </w:rPr>
            </w:pPr>
            <w:r>
              <w:rPr>
                <w:b w:val="0"/>
                <w:sz w:val="18"/>
                <w:szCs w:val="18"/>
                <w:lang w:val="en-US"/>
              </w:rPr>
              <w:t>0</w:t>
            </w:r>
            <w:r w:rsidR="000F6C9D">
              <w:rPr>
                <w:b w:val="0"/>
                <w:sz w:val="18"/>
                <w:szCs w:val="18"/>
                <w:lang w:val="en-US"/>
              </w:rPr>
              <w:t>5</w:t>
            </w:r>
            <w:r w:rsidR="00BD35EB">
              <w:rPr>
                <w:b w:val="0"/>
                <w:sz w:val="18"/>
                <w:szCs w:val="18"/>
                <w:lang w:val="en-US"/>
              </w:rPr>
              <w:t xml:space="preserve"> </w:t>
            </w:r>
            <w:r>
              <w:rPr>
                <w:b w:val="0"/>
                <w:sz w:val="18"/>
                <w:szCs w:val="18"/>
                <w:lang w:val="en-US"/>
              </w:rPr>
              <w:t>November</w:t>
            </w:r>
            <w:r w:rsidR="00BD35EB">
              <w:rPr>
                <w:b w:val="0"/>
                <w:sz w:val="18"/>
                <w:szCs w:val="18"/>
                <w:lang w:val="en-US"/>
              </w:rPr>
              <w:t xml:space="preserve"> </w:t>
            </w:r>
            <w:r>
              <w:rPr>
                <w:b w:val="0"/>
                <w:sz w:val="18"/>
                <w:szCs w:val="18"/>
                <w:lang w:val="en-US"/>
              </w:rPr>
              <w:t>2021</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2F2B3EA4" w14:textId="04749B2A" w:rsidR="00876ED4" w:rsidRDefault="00BB75B8" w:rsidP="00876ED4">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876ED4">
              <w:rPr>
                <w:b/>
                <w:lang w:val="en-US"/>
              </w:rPr>
              <w:t xml:space="preserve"> Thomas Lange</w:t>
            </w:r>
          </w:p>
          <w:p w14:paraId="290EDC1E" w14:textId="77777777" w:rsidR="00876ED4" w:rsidRDefault="00876ED4" w:rsidP="00876ED4">
            <w:pPr>
              <w:pStyle w:val="M10"/>
              <w:framePr w:wrap="auto" w:vAnchor="margin" w:hAnchor="text" w:xAlign="left" w:yAlign="inline"/>
              <w:suppressOverlap w:val="0"/>
              <w:rPr>
                <w:lang w:val="en-US"/>
              </w:rPr>
            </w:pPr>
            <w:r>
              <w:rPr>
                <w:lang w:val="en-US"/>
              </w:rPr>
              <w:t>Head of Market Communications</w:t>
            </w:r>
          </w:p>
          <w:p w14:paraId="3A1F29C4" w14:textId="77777777" w:rsidR="00876ED4" w:rsidRPr="001833A3" w:rsidRDefault="00876ED4" w:rsidP="00876ED4">
            <w:pPr>
              <w:pStyle w:val="M10"/>
              <w:framePr w:wrap="auto" w:vAnchor="margin" w:hAnchor="text" w:xAlign="left" w:yAlign="inline"/>
              <w:suppressOverlap w:val="0"/>
              <w:rPr>
                <w:lang w:val="en-US"/>
              </w:rPr>
            </w:pPr>
            <w:r>
              <w:rPr>
                <w:lang w:val="en-US"/>
              </w:rPr>
              <w:t>Coating Additives Business Line</w:t>
            </w:r>
          </w:p>
          <w:p w14:paraId="589206E3" w14:textId="77777777" w:rsidR="00876ED4" w:rsidRPr="001833A3" w:rsidRDefault="00876ED4" w:rsidP="00876ED4">
            <w:pPr>
              <w:pStyle w:val="M10"/>
              <w:framePr w:wrap="auto" w:vAnchor="margin" w:hAnchor="text" w:xAlign="left" w:yAlign="inline"/>
              <w:suppressOverlap w:val="0"/>
              <w:rPr>
                <w:lang w:val="en-US"/>
              </w:rPr>
            </w:pPr>
            <w:r w:rsidRPr="001833A3">
              <w:rPr>
                <w:lang w:val="en-US"/>
              </w:rPr>
              <w:t xml:space="preserve">Phone + 49 </w:t>
            </w:r>
            <w:r>
              <w:rPr>
                <w:lang w:val="en-US"/>
              </w:rPr>
              <w:t>201</w:t>
            </w:r>
            <w:r w:rsidRPr="001833A3">
              <w:rPr>
                <w:lang w:val="en-US"/>
              </w:rPr>
              <w:t xml:space="preserve"> </w:t>
            </w:r>
            <w:r>
              <w:rPr>
                <w:lang w:val="en-US"/>
              </w:rPr>
              <w:t>173</w:t>
            </w:r>
            <w:r w:rsidRPr="001833A3">
              <w:rPr>
                <w:lang w:val="en-US"/>
              </w:rPr>
              <w:t>-</w:t>
            </w:r>
            <w:r>
              <w:rPr>
                <w:lang w:val="en-US"/>
              </w:rPr>
              <w:t>3050</w:t>
            </w:r>
          </w:p>
          <w:p w14:paraId="751F25A0" w14:textId="77777777" w:rsidR="00876ED4" w:rsidRPr="00C12867" w:rsidRDefault="00876ED4" w:rsidP="00876ED4">
            <w:pPr>
              <w:pStyle w:val="M12"/>
              <w:framePr w:wrap="auto" w:vAnchor="margin" w:hAnchor="text" w:xAlign="left" w:yAlign="inline"/>
              <w:suppressOverlap w:val="0"/>
              <w:rPr>
                <w:lang w:val="en-US"/>
              </w:rPr>
            </w:pPr>
            <w:r w:rsidRPr="00C12867">
              <w:rPr>
                <w:lang w:val="en-US"/>
              </w:rPr>
              <w:t>thomas.lange2@evonik.com</w:t>
            </w:r>
          </w:p>
          <w:p w14:paraId="6E09D66A" w14:textId="46F3724C"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7A392A6E" w14:textId="7C710F61" w:rsidR="00876ED4" w:rsidRDefault="00876ED4" w:rsidP="00876ED4">
      <w:pPr>
        <w:rPr>
          <w:rFonts w:cs="Arial"/>
          <w:b/>
          <w:bCs/>
          <w:kern w:val="28"/>
          <w:sz w:val="28"/>
          <w:szCs w:val="28"/>
        </w:rPr>
      </w:pPr>
      <w:r w:rsidRPr="00C12867">
        <w:rPr>
          <w:rFonts w:cs="Arial"/>
          <w:b/>
          <w:bCs/>
          <w:kern w:val="28"/>
          <w:sz w:val="28"/>
          <w:szCs w:val="28"/>
        </w:rPr>
        <w:t xml:space="preserve">New heat stable </w:t>
      </w:r>
      <w:r w:rsidR="00DD4017">
        <w:rPr>
          <w:rFonts w:cs="Arial"/>
          <w:b/>
          <w:bCs/>
          <w:kern w:val="28"/>
          <w:sz w:val="28"/>
          <w:szCs w:val="28"/>
        </w:rPr>
        <w:t xml:space="preserve">hardener that </w:t>
      </w:r>
      <w:r>
        <w:rPr>
          <w:rFonts w:cs="Arial"/>
          <w:b/>
          <w:bCs/>
          <w:kern w:val="28"/>
          <w:sz w:val="28"/>
          <w:szCs w:val="28"/>
        </w:rPr>
        <w:t>dries at ambient temperature</w:t>
      </w:r>
    </w:p>
    <w:p w14:paraId="7E1DAC1A" w14:textId="77777777" w:rsidR="00876ED4" w:rsidRDefault="00876ED4" w:rsidP="00876ED4"/>
    <w:p w14:paraId="5360623F" w14:textId="77777777" w:rsidR="00876ED4" w:rsidRDefault="00876ED4" w:rsidP="00876ED4">
      <w:pPr>
        <w:pStyle w:val="Listenabsatz"/>
        <w:numPr>
          <w:ilvl w:val="0"/>
          <w:numId w:val="32"/>
        </w:numPr>
      </w:pPr>
      <w:r>
        <w:t>Saves energy and costs</w:t>
      </w:r>
    </w:p>
    <w:p w14:paraId="33A5EE05" w14:textId="77777777" w:rsidR="00876ED4" w:rsidRDefault="00876ED4" w:rsidP="00876ED4">
      <w:pPr>
        <w:pStyle w:val="Listenabsatz"/>
        <w:numPr>
          <w:ilvl w:val="0"/>
          <w:numId w:val="32"/>
        </w:numPr>
      </w:pPr>
      <w:r>
        <w:t>Protects against corrosion even under insulation</w:t>
      </w:r>
    </w:p>
    <w:p w14:paraId="7FA8F534" w14:textId="77777777" w:rsidR="00876ED4" w:rsidRDefault="00876ED4" w:rsidP="00876ED4">
      <w:pPr>
        <w:pStyle w:val="Listenabsatz"/>
        <w:numPr>
          <w:ilvl w:val="0"/>
          <w:numId w:val="32"/>
        </w:numPr>
      </w:pPr>
      <w:r>
        <w:t>Heat stable up to 650</w:t>
      </w:r>
      <w:r>
        <w:rPr>
          <w:rFonts w:cs="Lucida Sans Unicode"/>
        </w:rPr>
        <w:t>°</w:t>
      </w:r>
      <w:r>
        <w:t xml:space="preserve"> Celsius</w:t>
      </w:r>
    </w:p>
    <w:p w14:paraId="0FD3BF5C" w14:textId="77777777" w:rsidR="00876ED4" w:rsidRDefault="00876ED4" w:rsidP="00876ED4"/>
    <w:p w14:paraId="4960DC73" w14:textId="77777777" w:rsidR="00876ED4" w:rsidRDefault="00876ED4" w:rsidP="00876ED4">
      <w:r>
        <w:t>Germany, Essen. Energy and costs can now be saved when coating heat-stable surfaces: The new TEGO® Cure 100 hardener from Evonik ensures that the coating cures at room temperature. This eliminates the need for costly and energy-intensive drying in the oven. At the same time, the surface is heat-stable up to 650</w:t>
      </w:r>
      <w:r>
        <w:rPr>
          <w:rFonts w:cs="Lucida Sans Unicode"/>
        </w:rPr>
        <w:t>°</w:t>
      </w:r>
      <w:r>
        <w:t xml:space="preserve"> Celsius during application.</w:t>
      </w:r>
    </w:p>
    <w:p w14:paraId="23F6122D" w14:textId="77777777" w:rsidR="00876ED4" w:rsidRDefault="00876ED4" w:rsidP="00876ED4"/>
    <w:p w14:paraId="32241F7E" w14:textId="77777777" w:rsidR="00876ED4" w:rsidRDefault="00876ED4" w:rsidP="00876ED4">
      <w:r>
        <w:t xml:space="preserve">TEGO® Cure 100 was specially developed for surfaces that are continuously exposed to high temperatures, such as ovens, pipes, or machines that become very hot during operation. The hardener is suitable for silicone resins as well as silicone combination resins and offers a whole range of other advantages. The hardener improves the corrosion protection of the coating, especially when it is under an insulating layer. In addition, the high solids content of more than 99% reduces solvent emissions to a minimum. </w:t>
      </w:r>
    </w:p>
    <w:p w14:paraId="2ED8E1C4" w14:textId="77777777" w:rsidR="00876ED4" w:rsidRDefault="00876ED4" w:rsidP="00876ED4"/>
    <w:p w14:paraId="5159F07F" w14:textId="77777777" w:rsidR="00876ED4" w:rsidRDefault="00876ED4" w:rsidP="00876ED4">
      <w:r>
        <w:t>"Our new hardener meets the ever-increasing regulatory requirements," explains Maximilian Morin, head of the Industrial &amp; Transportation Coatings market segment. "We are convinced that the new hardener will be a future-proof component in our customers' formulations."</w:t>
      </w:r>
    </w:p>
    <w:p w14:paraId="026C1F3E" w14:textId="77777777" w:rsidR="00876ED4" w:rsidRDefault="00876ED4" w:rsidP="00876ED4"/>
    <w:p w14:paraId="08F73E9B" w14:textId="77777777" w:rsidR="00876ED4" w:rsidRDefault="00876ED4" w:rsidP="00876ED4">
      <w:r>
        <w:t>The new silicone resin-based hardener is particularly suitable for direct-to-metal coatings, allowing costly multi-layer build-ups to be avoided. Thanks to its high resistance to corrosion, chemicals, and weathering, even single-layer systems offer high surface protection.</w:t>
      </w:r>
    </w:p>
    <w:p w14:paraId="102972D1" w14:textId="77777777" w:rsidR="00876ED4" w:rsidRDefault="00876ED4" w:rsidP="00876ED4"/>
    <w:p w14:paraId="2126705E" w14:textId="77777777" w:rsidR="00876ED4" w:rsidRDefault="00876ED4" w:rsidP="00876ED4">
      <w:r>
        <w:t>TEGO® Cure 100 is very easy to handle. Even though it is a highly reactive hardener, it has a wide processing window and is also stable in storage over a very long period.</w:t>
      </w:r>
    </w:p>
    <w:p w14:paraId="5AB1966F" w14:textId="77777777" w:rsidR="00876ED4" w:rsidRDefault="00876ED4" w:rsidP="00876ED4"/>
    <w:p w14:paraId="69E4FF12" w14:textId="029ABDE5" w:rsidR="00876ED4" w:rsidRDefault="00876ED4" w:rsidP="00876ED4">
      <w:r>
        <w:lastRenderedPageBreak/>
        <w:t>Technical, regulatory, and safety data sheets for TEGO® Cure 100 can be found at www.coating-additives.com.</w:t>
      </w:r>
    </w:p>
    <w:p w14:paraId="48AF9891" w14:textId="77777777" w:rsidR="00E5685D" w:rsidRDefault="00E5685D" w:rsidP="00CD1EE7"/>
    <w:p w14:paraId="25A97C28" w14:textId="77777777" w:rsidR="00132CEA" w:rsidRDefault="00132CEA" w:rsidP="00E5685D">
      <w:pPr>
        <w:spacing w:line="220" w:lineRule="exact"/>
        <w:outlineLvl w:val="0"/>
        <w:rPr>
          <w:b/>
          <w:bCs/>
          <w:color w:val="000000"/>
          <w:sz w:val="18"/>
          <w:szCs w:val="18"/>
        </w:rPr>
      </w:pPr>
    </w:p>
    <w:p w14:paraId="739662B3" w14:textId="77777777" w:rsidR="00132CEA" w:rsidRDefault="00132CEA" w:rsidP="00E5685D">
      <w:pPr>
        <w:spacing w:line="220" w:lineRule="exact"/>
        <w:outlineLvl w:val="0"/>
        <w:rPr>
          <w:b/>
          <w:bCs/>
          <w:color w:val="000000"/>
          <w:sz w:val="18"/>
          <w:szCs w:val="18"/>
        </w:rPr>
      </w:pPr>
    </w:p>
    <w:p w14:paraId="43F96876" w14:textId="77777777" w:rsidR="00132CEA" w:rsidRDefault="00132CEA" w:rsidP="00E5685D">
      <w:pPr>
        <w:spacing w:line="220" w:lineRule="exact"/>
        <w:outlineLvl w:val="0"/>
        <w:rPr>
          <w:b/>
          <w:bCs/>
          <w:color w:val="000000"/>
          <w:sz w:val="18"/>
          <w:szCs w:val="18"/>
        </w:rPr>
      </w:pPr>
    </w:p>
    <w:p w14:paraId="15DC037F" w14:textId="77777777" w:rsidR="00132CEA" w:rsidRDefault="00132CEA" w:rsidP="00E5685D">
      <w:pPr>
        <w:spacing w:line="220" w:lineRule="exact"/>
        <w:outlineLvl w:val="0"/>
        <w:rPr>
          <w:b/>
          <w:bCs/>
          <w:color w:val="000000"/>
          <w:sz w:val="18"/>
          <w:szCs w:val="18"/>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profitable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EB6B9" w14:textId="77777777" w:rsidR="007E32E1" w:rsidRDefault="007E32E1" w:rsidP="00FD1184">
      <w:r>
        <w:separator/>
      </w:r>
    </w:p>
  </w:endnote>
  <w:endnote w:type="continuationSeparator" w:id="0">
    <w:p w14:paraId="156BC081" w14:textId="77777777" w:rsidR="007E32E1" w:rsidRDefault="007E32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F" w14:textId="77777777" w:rsidR="00B175C1" w:rsidRDefault="00B17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7365E703" w:rsidR="00BC1B97" w:rsidRDefault="00BC1B97">
    <w:pPr>
      <w:pStyle w:val="Fuzeile"/>
    </w:pP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2ED01" w14:textId="77777777" w:rsidR="007E32E1" w:rsidRDefault="007E32E1" w:rsidP="00FD1184">
      <w:r>
        <w:separator/>
      </w:r>
    </w:p>
  </w:footnote>
  <w:footnote w:type="continuationSeparator" w:id="0">
    <w:p w14:paraId="49313206" w14:textId="77777777" w:rsidR="007E32E1" w:rsidRDefault="007E32E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D" w14:textId="77777777" w:rsidR="00B175C1" w:rsidRDefault="00B17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65F30"/>
    <w:rsid w:val="00084555"/>
    <w:rsid w:val="00086556"/>
    <w:rsid w:val="00092011"/>
    <w:rsid w:val="00092F83"/>
    <w:rsid w:val="000A0DDB"/>
    <w:rsid w:val="000B4D73"/>
    <w:rsid w:val="000D081A"/>
    <w:rsid w:val="000D1DD8"/>
    <w:rsid w:val="000D7DF9"/>
    <w:rsid w:val="000E06AB"/>
    <w:rsid w:val="000E2184"/>
    <w:rsid w:val="000F6C9D"/>
    <w:rsid w:val="000F709C"/>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4BC7"/>
    <w:rsid w:val="003067D4"/>
    <w:rsid w:val="0031020E"/>
    <w:rsid w:val="00310BD6"/>
    <w:rsid w:val="00316EC0"/>
    <w:rsid w:val="00345B60"/>
    <w:rsid w:val="003508E4"/>
    <w:rsid w:val="00364D2E"/>
    <w:rsid w:val="00367974"/>
    <w:rsid w:val="00380845"/>
    <w:rsid w:val="00384C52"/>
    <w:rsid w:val="00397F27"/>
    <w:rsid w:val="003A023D"/>
    <w:rsid w:val="003C0198"/>
    <w:rsid w:val="003C5A02"/>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840BB"/>
    <w:rsid w:val="006A581A"/>
    <w:rsid w:val="006A5A6B"/>
    <w:rsid w:val="006A68E7"/>
    <w:rsid w:val="006C6EA8"/>
    <w:rsid w:val="006D601A"/>
    <w:rsid w:val="006E2F15"/>
    <w:rsid w:val="006E434B"/>
    <w:rsid w:val="006F3AB9"/>
    <w:rsid w:val="006F48B3"/>
    <w:rsid w:val="007170B2"/>
    <w:rsid w:val="00717EDA"/>
    <w:rsid w:val="0072366D"/>
    <w:rsid w:val="00723778"/>
    <w:rsid w:val="00731495"/>
    <w:rsid w:val="007424D4"/>
    <w:rsid w:val="00742B60"/>
    <w:rsid w:val="00744FA6"/>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76ED4"/>
    <w:rsid w:val="0088508F"/>
    <w:rsid w:val="00885442"/>
    <w:rsid w:val="00897078"/>
    <w:rsid w:val="008A0D35"/>
    <w:rsid w:val="008A2AE8"/>
    <w:rsid w:val="008B03E0"/>
    <w:rsid w:val="008B7AFE"/>
    <w:rsid w:val="008C00D3"/>
    <w:rsid w:val="008C52EF"/>
    <w:rsid w:val="008C54B0"/>
    <w:rsid w:val="008E7921"/>
    <w:rsid w:val="008F49C5"/>
    <w:rsid w:val="0090621C"/>
    <w:rsid w:val="00923208"/>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B75B8"/>
    <w:rsid w:val="00BC1B97"/>
    <w:rsid w:val="00BC1D7E"/>
    <w:rsid w:val="00BD35EB"/>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D4017"/>
    <w:rsid w:val="00DE534A"/>
    <w:rsid w:val="00DE5B23"/>
    <w:rsid w:val="00E012F7"/>
    <w:rsid w:val="00E05BB2"/>
    <w:rsid w:val="00E11823"/>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schemas.microsoft.com/office/2006/metadata/properties"/>
    <ds:schemaRef ds:uri="http://schemas.microsoft.com/office/2006/documentManagement/types"/>
    <ds:schemaRef ds:uri="http://purl.org/dc/terms/"/>
    <ds:schemaRef ds:uri="d195b346-29dd-4065-918d-ebeacdb9ada2"/>
    <ds:schemaRef ds:uri="http://purl.org/dc/elements/1.1/"/>
    <ds:schemaRef ds:uri="http://schemas.microsoft.com/office/infopath/2007/PartnerControls"/>
    <ds:schemaRef ds:uri="85f9de23-6055-4001-b090-eced70a4305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3344</Characters>
  <Application>Microsoft Office Word</Application>
  <DocSecurity>2</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6</cp:revision>
  <cp:lastPrinted>2021-11-03T15:07:00Z</cp:lastPrinted>
  <dcterms:created xsi:type="dcterms:W3CDTF">2021-10-26T08:02:00Z</dcterms:created>
  <dcterms:modified xsi:type="dcterms:W3CDTF">2021-11-04T07:46:00Z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2021-10-26T08:02:11Z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dd1bafea-39e4-48ba-91a9-701d965b6a6d</vt:lpwstr>
  </property>
  <property fmtid="{D5CDD505-2E9C-101B-9397-08002B2CF9AE}" pid="10" name="MSIP_Label_29871acb-3e8e-4cf1-928b-53cb657a6025_ContentBits">
    <vt:lpwstr>0</vt:lpwstr>
  </property>
</Properties>
</file>