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32B65DDD" w:rsidR="004F1918" w:rsidRPr="004F1918" w:rsidRDefault="00864244" w:rsidP="004F1918">
            <w:pPr>
              <w:pStyle w:val="M7"/>
              <w:framePr w:wrap="auto" w:vAnchor="margin" w:hAnchor="text" w:xAlign="left" w:yAlign="inline"/>
              <w:suppressOverlap w:val="0"/>
              <w:rPr>
                <w:b w:val="0"/>
                <w:sz w:val="18"/>
                <w:szCs w:val="18"/>
                <w:lang w:val="en-US"/>
              </w:rPr>
            </w:pPr>
            <w:r>
              <w:rPr>
                <w:b w:val="0"/>
                <w:sz w:val="18"/>
                <w:szCs w:val="18"/>
                <w:lang w:val="en-US"/>
              </w:rPr>
              <w:t>12.03.2020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13D1BA61"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13D1BA6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13D1BA63"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13D1BA6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13D1BA65"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13D1BA66" w14:textId="4074B9FD" w:rsidR="00BF555F" w:rsidRPr="009927B2" w:rsidRDefault="00057982" w:rsidP="00BF555F">
      <w:pPr>
        <w:framePr w:w="2659" w:wrap="around" w:hAnchor="page" w:x="8971" w:yAlign="bottom" w:anchorLock="1"/>
        <w:tabs>
          <w:tab w:val="left" w:pos="518"/>
        </w:tabs>
        <w:spacing w:line="180" w:lineRule="exact"/>
        <w:rPr>
          <w:noProof/>
          <w:sz w:val="13"/>
          <w:lang w:val="en-US"/>
        </w:rPr>
      </w:pPr>
      <w:hyperlink r:id="rId10" w:history="1">
        <w:r w:rsidR="00BF555F" w:rsidRPr="009927B2">
          <w:rPr>
            <w:rStyle w:val="Hyperlink"/>
            <w:noProof/>
            <w:sz w:val="13"/>
            <w:lang w:val="en-US"/>
          </w:rPr>
          <w:t>www.evonik.</w:t>
        </w:r>
      </w:hyperlink>
      <w:r w:rsidR="00BF555F" w:rsidRPr="009927B2">
        <w:rPr>
          <w:rStyle w:val="Hyperlink"/>
          <w:noProof/>
          <w:sz w:val="13"/>
          <w:lang w:val="en-US"/>
        </w:rPr>
        <w:t>com</w:t>
      </w:r>
    </w:p>
    <w:p w14:paraId="13D1BA67"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13D1BA68"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13D1BA69"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3D1BA6A"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13D1BA6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13D1BA6C"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13D1BA6D"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13D1BA6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13D1BA6F"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13D1BA70"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13D1BA71"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13D1BA7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13D1BA73"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13D1BA74"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66C5A2B5" w14:textId="77777777" w:rsidR="00864244" w:rsidRPr="00864244" w:rsidRDefault="00864244" w:rsidP="00864244">
      <w:pPr>
        <w:rPr>
          <w:b/>
          <w:sz w:val="24"/>
        </w:rPr>
      </w:pPr>
      <w:r w:rsidRPr="00864244">
        <w:rPr>
          <w:b/>
          <w:sz w:val="24"/>
        </w:rPr>
        <w:t>S</w:t>
      </w:r>
      <w:bookmarkStart w:id="0" w:name="_GoBack"/>
      <w:bookmarkEnd w:id="0"/>
      <w:r w:rsidRPr="00864244">
        <w:rPr>
          <w:b/>
          <w:sz w:val="24"/>
        </w:rPr>
        <w:t>PHERILEX® – A novel synthetic silica engineered for improved durability and burnish resistance</w:t>
      </w:r>
    </w:p>
    <w:p w14:paraId="13D1BA75" w14:textId="08F62A69" w:rsidR="00BA4C6A" w:rsidRPr="00864244" w:rsidRDefault="004F1918" w:rsidP="00CD1EE7">
      <w:pPr>
        <w:pStyle w:val="Titel"/>
        <w:rPr>
          <w:szCs w:val="24"/>
        </w:rPr>
      </w:pPr>
      <w:r w:rsidRPr="00864244">
        <w:rPr>
          <w:szCs w:val="24"/>
        </w:rPr>
        <w:t xml:space="preserve"> </w:t>
      </w:r>
    </w:p>
    <w:p w14:paraId="13D1BA7E" w14:textId="77777777" w:rsidR="00CD1EE7" w:rsidRDefault="00CD1EE7" w:rsidP="00CD1EE7"/>
    <w:p w14:paraId="0C162AAB" w14:textId="77777777" w:rsidR="00864244" w:rsidRPr="00864244" w:rsidRDefault="00864244" w:rsidP="00864244">
      <w:pPr>
        <w:autoSpaceDE w:val="0"/>
        <w:autoSpaceDN w:val="0"/>
        <w:adjustRightInd w:val="0"/>
        <w:spacing w:line="240" w:lineRule="auto"/>
        <w:rPr>
          <w:rFonts w:cs="Lucida Sans Unicode"/>
          <w:lang w:val="en-US"/>
        </w:rPr>
      </w:pPr>
      <w:r w:rsidRPr="00864244">
        <w:rPr>
          <w:rFonts w:cs="Lucida Sans Unicode"/>
          <w:lang w:val="en-US"/>
        </w:rPr>
        <w:t xml:space="preserve">In paints and coatings, precipitated silica is widely known as a superior matting agent. Its functional characteristics, however, are eventually determined by many differentiators like particle size, size distribution, particle morphology, and more. In other words: to control these aspects means to control the properties and benefits of the precipitated silica. </w:t>
      </w:r>
    </w:p>
    <w:p w14:paraId="496FA45C" w14:textId="77777777" w:rsidR="00864244" w:rsidRPr="00864244" w:rsidRDefault="00864244" w:rsidP="00864244">
      <w:pPr>
        <w:autoSpaceDE w:val="0"/>
        <w:autoSpaceDN w:val="0"/>
        <w:adjustRightInd w:val="0"/>
        <w:spacing w:line="240" w:lineRule="auto"/>
        <w:rPr>
          <w:rFonts w:cs="Lucida Sans Unicode"/>
          <w:lang w:val="en-US"/>
        </w:rPr>
      </w:pPr>
    </w:p>
    <w:p w14:paraId="5B0126C6" w14:textId="77777777" w:rsidR="00864244" w:rsidRPr="00864244" w:rsidRDefault="00864244" w:rsidP="00864244">
      <w:pPr>
        <w:autoSpaceDE w:val="0"/>
        <w:autoSpaceDN w:val="0"/>
        <w:adjustRightInd w:val="0"/>
        <w:spacing w:line="240" w:lineRule="auto"/>
        <w:rPr>
          <w:rFonts w:cs="Lucida Sans Unicode"/>
          <w:lang w:val="en-US"/>
        </w:rPr>
      </w:pPr>
      <w:r w:rsidRPr="00864244">
        <w:rPr>
          <w:rFonts w:cs="Lucida Sans Unicode"/>
          <w:lang w:val="en-US"/>
        </w:rPr>
        <w:t xml:space="preserve">The Coating Additives business line of Evonik now introduces its SPHERILEX® silica wet chemistry technology. The manufacturing process produces material with a unique spherical particle morphology, providing non-traditional silica benefits to coatings. Variations in the wet reaction process conditions allow to control many aspects of the final product, such as pH, surface area, pore volume, and other structural or morphological effects. </w:t>
      </w:r>
    </w:p>
    <w:p w14:paraId="56397376" w14:textId="77777777" w:rsidR="00864244" w:rsidRPr="00864244" w:rsidRDefault="00864244" w:rsidP="00864244">
      <w:pPr>
        <w:autoSpaceDE w:val="0"/>
        <w:autoSpaceDN w:val="0"/>
        <w:adjustRightInd w:val="0"/>
        <w:spacing w:line="240" w:lineRule="auto"/>
        <w:rPr>
          <w:rFonts w:cs="Lucida Sans Unicode"/>
          <w:lang w:val="en-US"/>
        </w:rPr>
      </w:pPr>
    </w:p>
    <w:p w14:paraId="750F6788" w14:textId="33F1D495" w:rsidR="00864244" w:rsidRDefault="00864244" w:rsidP="00864244">
      <w:pPr>
        <w:rPr>
          <w:rFonts w:cs="Lucida Sans Unicode"/>
          <w:lang w:val="en-US"/>
        </w:rPr>
      </w:pPr>
      <w:r w:rsidRPr="00864244">
        <w:rPr>
          <w:rFonts w:cs="Lucida Sans Unicode"/>
          <w:lang w:val="en-US"/>
        </w:rPr>
        <w:t xml:space="preserve">As a result of this technology, Evonik introduces three new products for paints and coatings: SPHERILEX® DP-0111, SPHERILEX® DP-0112, and SPHERILEX® DP-0115. </w:t>
      </w:r>
    </w:p>
    <w:p w14:paraId="5F752DC5" w14:textId="77777777" w:rsidR="00057982" w:rsidRPr="00864244" w:rsidRDefault="00057982" w:rsidP="00864244">
      <w:pPr>
        <w:rPr>
          <w:rFonts w:cs="Lucida Sans Unicode"/>
          <w:lang w:val="en-US"/>
        </w:rPr>
      </w:pPr>
    </w:p>
    <w:p w14:paraId="6B03BB4C" w14:textId="77777777" w:rsidR="00864244" w:rsidRPr="00864244" w:rsidRDefault="00864244" w:rsidP="00864244">
      <w:pPr>
        <w:autoSpaceDE w:val="0"/>
        <w:autoSpaceDN w:val="0"/>
        <w:adjustRightInd w:val="0"/>
        <w:spacing w:line="240" w:lineRule="auto"/>
        <w:rPr>
          <w:rFonts w:cs="Lucida Sans Unicode"/>
          <w:lang w:val="en-US"/>
        </w:rPr>
      </w:pPr>
      <w:r w:rsidRPr="00864244">
        <w:rPr>
          <w:rFonts w:cs="Lucida Sans Unicode"/>
          <w:bCs/>
          <w:lang w:val="en-US"/>
        </w:rPr>
        <w:t xml:space="preserve">In modern architectural paints, burnishing and wet abrasion resistance </w:t>
      </w:r>
      <w:r w:rsidRPr="00864244">
        <w:rPr>
          <w:rFonts w:cs="Lucida Sans Unicode"/>
          <w:lang w:val="en-US"/>
        </w:rPr>
        <w:t>are key formulating challenges and important differentiating factors. The existing filler or formulation options leave formulators with limited support to overcome the challenges for differentiated products.</w:t>
      </w:r>
    </w:p>
    <w:p w14:paraId="09354C39" w14:textId="77777777" w:rsidR="00864244" w:rsidRPr="00864244" w:rsidRDefault="00864244" w:rsidP="00864244">
      <w:pPr>
        <w:autoSpaceDE w:val="0"/>
        <w:autoSpaceDN w:val="0"/>
        <w:adjustRightInd w:val="0"/>
        <w:spacing w:line="240" w:lineRule="auto"/>
        <w:rPr>
          <w:rFonts w:cs="Lucida Sans Unicode"/>
          <w:lang w:val="en-US"/>
        </w:rPr>
      </w:pPr>
    </w:p>
    <w:p w14:paraId="5CB9D2B0" w14:textId="77777777" w:rsidR="00864244" w:rsidRPr="00864244" w:rsidRDefault="00864244" w:rsidP="00864244">
      <w:pPr>
        <w:autoSpaceDE w:val="0"/>
        <w:autoSpaceDN w:val="0"/>
        <w:adjustRightInd w:val="0"/>
        <w:spacing w:line="240" w:lineRule="auto"/>
        <w:rPr>
          <w:rFonts w:cs="Lucida Sans Unicode"/>
        </w:rPr>
      </w:pPr>
      <w:r w:rsidRPr="00864244">
        <w:rPr>
          <w:rFonts w:cs="Lucida Sans Unicode"/>
        </w:rPr>
        <w:t>These performance attributes can directly be linked to the particle morphology of fillers and the resulting surface profile of the film.  Recent process advancements at Evonik have produced a novel class of synthetic silica with:</w:t>
      </w:r>
    </w:p>
    <w:p w14:paraId="5FD49BAD" w14:textId="77777777" w:rsidR="00864244" w:rsidRPr="00864244" w:rsidRDefault="00864244" w:rsidP="00864244">
      <w:pPr>
        <w:autoSpaceDE w:val="0"/>
        <w:autoSpaceDN w:val="0"/>
        <w:adjustRightInd w:val="0"/>
        <w:spacing w:line="240" w:lineRule="auto"/>
        <w:rPr>
          <w:rFonts w:cs="Lucida Sans Unicode"/>
        </w:rPr>
      </w:pPr>
    </w:p>
    <w:p w14:paraId="7A6531B5" w14:textId="77777777" w:rsidR="00864244" w:rsidRPr="00864244" w:rsidRDefault="00864244" w:rsidP="00864244">
      <w:pPr>
        <w:pStyle w:val="Listenabsatz"/>
        <w:numPr>
          <w:ilvl w:val="0"/>
          <w:numId w:val="33"/>
        </w:numPr>
        <w:autoSpaceDE w:val="0"/>
        <w:autoSpaceDN w:val="0"/>
        <w:adjustRightInd w:val="0"/>
        <w:spacing w:after="0" w:line="240" w:lineRule="auto"/>
        <w:rPr>
          <w:rFonts w:ascii="Lucida Sans Unicode" w:hAnsi="Lucida Sans Unicode" w:cs="Lucida Sans Unicode"/>
        </w:rPr>
      </w:pPr>
      <w:r w:rsidRPr="00864244">
        <w:rPr>
          <w:rFonts w:ascii="Lucida Sans Unicode" w:hAnsi="Lucida Sans Unicode" w:cs="Lucida Sans Unicode"/>
        </w:rPr>
        <w:t xml:space="preserve">unique spherical particle morphology, </w:t>
      </w:r>
    </w:p>
    <w:p w14:paraId="1730E23F" w14:textId="77777777" w:rsidR="00864244" w:rsidRPr="00864244" w:rsidRDefault="00864244" w:rsidP="00864244">
      <w:pPr>
        <w:pStyle w:val="Listenabsatz"/>
        <w:numPr>
          <w:ilvl w:val="0"/>
          <w:numId w:val="33"/>
        </w:numPr>
        <w:autoSpaceDE w:val="0"/>
        <w:autoSpaceDN w:val="0"/>
        <w:adjustRightInd w:val="0"/>
        <w:spacing w:after="0" w:line="240" w:lineRule="auto"/>
        <w:rPr>
          <w:rFonts w:ascii="Lucida Sans Unicode" w:hAnsi="Lucida Sans Unicode" w:cs="Lucida Sans Unicode"/>
        </w:rPr>
      </w:pPr>
      <w:r w:rsidRPr="00864244">
        <w:rPr>
          <w:rFonts w:ascii="Lucida Sans Unicode" w:hAnsi="Lucida Sans Unicode" w:cs="Lucida Sans Unicode"/>
        </w:rPr>
        <w:t>narrow particle distribution, and</w:t>
      </w:r>
    </w:p>
    <w:p w14:paraId="4964372B" w14:textId="77777777" w:rsidR="00864244" w:rsidRPr="00864244" w:rsidRDefault="00864244" w:rsidP="00864244">
      <w:pPr>
        <w:pStyle w:val="Listenabsatz"/>
        <w:numPr>
          <w:ilvl w:val="0"/>
          <w:numId w:val="33"/>
        </w:numPr>
        <w:autoSpaceDE w:val="0"/>
        <w:autoSpaceDN w:val="0"/>
        <w:adjustRightInd w:val="0"/>
        <w:spacing w:after="0" w:line="240" w:lineRule="auto"/>
        <w:rPr>
          <w:rFonts w:ascii="Lucida Sans Unicode" w:hAnsi="Lucida Sans Unicode" w:cs="Lucida Sans Unicode"/>
          <w:lang w:val="en-US"/>
        </w:rPr>
      </w:pPr>
      <w:r w:rsidRPr="00864244">
        <w:rPr>
          <w:rFonts w:ascii="Lucida Sans Unicode" w:hAnsi="Lucida Sans Unicode" w:cs="Lucida Sans Unicode"/>
        </w:rPr>
        <w:t>very low surface area and porosity.</w:t>
      </w:r>
    </w:p>
    <w:p w14:paraId="24A553E0" w14:textId="77777777" w:rsidR="00864244" w:rsidRPr="00864244" w:rsidRDefault="00864244" w:rsidP="00864244">
      <w:pPr>
        <w:autoSpaceDE w:val="0"/>
        <w:autoSpaceDN w:val="0"/>
        <w:adjustRightInd w:val="0"/>
        <w:spacing w:line="240" w:lineRule="auto"/>
        <w:rPr>
          <w:rFonts w:cs="Lucida Sans Unicode"/>
          <w:lang w:val="en-US"/>
        </w:rPr>
      </w:pPr>
    </w:p>
    <w:p w14:paraId="758F7763" w14:textId="3F6A5272" w:rsidR="00864244" w:rsidRDefault="00864244" w:rsidP="00864244">
      <w:pPr>
        <w:rPr>
          <w:rFonts w:cs="Lucida Sans Unicode"/>
          <w:lang w:val="en-US"/>
        </w:rPr>
      </w:pPr>
      <w:r w:rsidRPr="00864244">
        <w:rPr>
          <w:rFonts w:cs="Lucida Sans Unicode"/>
          <w:lang w:val="en-US"/>
        </w:rPr>
        <w:t>Furthermore, regulatory concerns and other challenges have resulted in a decreasing array of available materials from which to formulate. Solvents, for example, soften polymers, allowing them to flow more freely to surround and wet the pigment particles in a coating, thereby enhancing the binding ability of the binder. As the availability of these solvents diminishes in the marketplace due to requirements to reduce VOCs, formulators must seek new ways to minimize the binder demand of the solids in their formulations.</w:t>
      </w:r>
    </w:p>
    <w:p w14:paraId="6CE9C58A" w14:textId="77777777" w:rsidR="00864244" w:rsidRPr="00864244" w:rsidRDefault="00864244" w:rsidP="00864244">
      <w:pPr>
        <w:rPr>
          <w:rFonts w:cs="Lucida Sans Unicode"/>
          <w:lang w:val="en-US"/>
        </w:rPr>
      </w:pPr>
    </w:p>
    <w:p w14:paraId="1BE407F4" w14:textId="5F4C2F13" w:rsidR="00864244" w:rsidRDefault="00864244" w:rsidP="00864244">
      <w:pPr>
        <w:rPr>
          <w:rFonts w:cs="Lucida Sans Unicode"/>
          <w:lang w:val="en-US"/>
        </w:rPr>
      </w:pPr>
      <w:r w:rsidRPr="00864244">
        <w:rPr>
          <w:rFonts w:cs="Lucida Sans Unicode"/>
          <w:lang w:val="en-US"/>
        </w:rPr>
        <w:t>The new SPHERILEX® technology addresses these challenges in paint formulations and offers a new range of functional silica and silicate products with unique performance profiles that help formulators realize new value in synthetic silica technology.</w:t>
      </w:r>
    </w:p>
    <w:p w14:paraId="08B6D422" w14:textId="77777777" w:rsidR="00864244" w:rsidRPr="00864244" w:rsidRDefault="00864244" w:rsidP="00864244">
      <w:pPr>
        <w:rPr>
          <w:rFonts w:cs="Lucida Sans Unicode"/>
          <w:lang w:val="en-US"/>
        </w:rPr>
      </w:pPr>
    </w:p>
    <w:p w14:paraId="13D1BA7F" w14:textId="590FE292" w:rsidR="003F4CD0" w:rsidRPr="00864244" w:rsidRDefault="00864244" w:rsidP="00864244">
      <w:pPr>
        <w:rPr>
          <w:rFonts w:cs="Lucida Sans Unicode"/>
        </w:rPr>
      </w:pPr>
      <w:r w:rsidRPr="00864244">
        <w:rPr>
          <w:rFonts w:cs="Lucida Sans Unicode"/>
          <w:lang w:val="en-US"/>
        </w:rPr>
        <w:t xml:space="preserve">You can find technical and safety data sheets at </w:t>
      </w:r>
      <w:hyperlink r:id="rId11" w:history="1">
        <w:r w:rsidRPr="00864244">
          <w:rPr>
            <w:rStyle w:val="Hyperlink"/>
            <w:rFonts w:cs="Lucida Sans Unicode"/>
            <w:lang w:val="en-US"/>
          </w:rPr>
          <w:t>www.coating-additives.com</w:t>
        </w:r>
      </w:hyperlink>
      <w:r w:rsidRPr="00864244">
        <w:rPr>
          <w:rStyle w:val="Hyperlink"/>
          <w:rFonts w:cs="Lucida Sans Unicode"/>
          <w:lang w:val="en-US"/>
        </w:rPr>
        <w:t>.</w:t>
      </w:r>
    </w:p>
    <w:p w14:paraId="13D1BA80" w14:textId="63A769A0" w:rsidR="004F1918" w:rsidRDefault="004F1918" w:rsidP="00CD1EE7"/>
    <w:p w14:paraId="288C107E" w14:textId="397A7372" w:rsidR="00D05BB9" w:rsidRDefault="00D05BB9" w:rsidP="00CD1EE7">
      <w:r w:rsidRPr="00D05BB9">
        <w:drawing>
          <wp:anchor distT="0" distB="0" distL="114300" distR="114300" simplePos="0" relativeHeight="251660288" behindDoc="0" locked="0" layoutInCell="1" allowOverlap="1" wp14:anchorId="460D805D" wp14:editId="7C43FC43">
            <wp:simplePos x="0" y="0"/>
            <wp:positionH relativeFrom="column">
              <wp:posOffset>2917825</wp:posOffset>
            </wp:positionH>
            <wp:positionV relativeFrom="paragraph">
              <wp:posOffset>189865</wp:posOffset>
            </wp:positionV>
            <wp:extent cx="2244090" cy="1866265"/>
            <wp:effectExtent l="0" t="0" r="381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herilex2.jpg"/>
                    <pic:cNvPicPr/>
                  </pic:nvPicPr>
                  <pic:blipFill>
                    <a:blip r:embed="rId12">
                      <a:extLst>
                        <a:ext uri="{28A0092B-C50C-407E-A947-70E740481C1C}">
                          <a14:useLocalDpi xmlns:a14="http://schemas.microsoft.com/office/drawing/2010/main" val="0"/>
                        </a:ext>
                      </a:extLst>
                    </a:blip>
                    <a:stretch>
                      <a:fillRect/>
                    </a:stretch>
                  </pic:blipFill>
                  <pic:spPr>
                    <a:xfrm>
                      <a:off x="0" y="0"/>
                      <a:ext cx="2244090" cy="1866265"/>
                    </a:xfrm>
                    <a:prstGeom prst="rect">
                      <a:avLst/>
                    </a:prstGeom>
                  </pic:spPr>
                </pic:pic>
              </a:graphicData>
            </a:graphic>
            <wp14:sizeRelH relativeFrom="page">
              <wp14:pctWidth>0</wp14:pctWidth>
            </wp14:sizeRelH>
            <wp14:sizeRelV relativeFrom="page">
              <wp14:pctHeight>0</wp14:pctHeight>
            </wp14:sizeRelV>
          </wp:anchor>
        </w:drawing>
      </w:r>
    </w:p>
    <w:p w14:paraId="6F6E1B36" w14:textId="1D8CB14C" w:rsidR="00D05BB9" w:rsidRDefault="00D05BB9" w:rsidP="00CD1EE7">
      <w:r w:rsidRPr="00D05BB9">
        <w:drawing>
          <wp:anchor distT="0" distB="0" distL="114300" distR="114300" simplePos="0" relativeHeight="251659264" behindDoc="0" locked="0" layoutInCell="1" allowOverlap="1" wp14:anchorId="524D5288" wp14:editId="69F0BA48">
            <wp:simplePos x="0" y="0"/>
            <wp:positionH relativeFrom="column">
              <wp:posOffset>0</wp:posOffset>
            </wp:positionH>
            <wp:positionV relativeFrom="paragraph">
              <wp:posOffset>6985</wp:posOffset>
            </wp:positionV>
            <wp:extent cx="2756535" cy="1859280"/>
            <wp:effectExtent l="0" t="0" r="5715"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herilex1.jpg"/>
                    <pic:cNvPicPr/>
                  </pic:nvPicPr>
                  <pic:blipFill>
                    <a:blip r:embed="rId13">
                      <a:extLst>
                        <a:ext uri="{28A0092B-C50C-407E-A947-70E740481C1C}">
                          <a14:useLocalDpi xmlns:a14="http://schemas.microsoft.com/office/drawing/2010/main" val="0"/>
                        </a:ext>
                      </a:extLst>
                    </a:blip>
                    <a:stretch>
                      <a:fillRect/>
                    </a:stretch>
                  </pic:blipFill>
                  <pic:spPr>
                    <a:xfrm>
                      <a:off x="0" y="0"/>
                      <a:ext cx="2756535" cy="1859280"/>
                    </a:xfrm>
                    <a:prstGeom prst="rect">
                      <a:avLst/>
                    </a:prstGeom>
                  </pic:spPr>
                </pic:pic>
              </a:graphicData>
            </a:graphic>
            <wp14:sizeRelH relativeFrom="page">
              <wp14:pctWidth>0</wp14:pctWidth>
            </wp14:sizeRelH>
            <wp14:sizeRelV relativeFrom="page">
              <wp14:pctHeight>0</wp14:pctHeight>
            </wp14:sizeRelV>
          </wp:anchor>
        </w:drawing>
      </w:r>
    </w:p>
    <w:p w14:paraId="7F8DB8DD" w14:textId="578D5751" w:rsidR="00D05BB9" w:rsidRDefault="00D05BB9" w:rsidP="00CD1EE7"/>
    <w:p w14:paraId="60F67C3A" w14:textId="2EBF823F" w:rsidR="00D05BB9" w:rsidRDefault="00D05BB9" w:rsidP="00CD1EE7"/>
    <w:p w14:paraId="4597A30A" w14:textId="3F3A9622" w:rsidR="00D05BB9" w:rsidRDefault="00D05BB9" w:rsidP="00CD1EE7"/>
    <w:p w14:paraId="13D1BA81" w14:textId="77777777" w:rsidR="004F1918" w:rsidRDefault="004F1918" w:rsidP="00CD1EE7"/>
    <w:p w14:paraId="13D1BA82" w14:textId="3239152A" w:rsidR="006E18CB" w:rsidRDefault="006E18CB" w:rsidP="00CD1EE7"/>
    <w:p w14:paraId="13D1BA83" w14:textId="77777777" w:rsidR="004F1918" w:rsidRDefault="004F1918" w:rsidP="00CD1EE7"/>
    <w:p w14:paraId="13D1BA84" w14:textId="77777777" w:rsidR="004F1918" w:rsidRDefault="004F1918" w:rsidP="00CD1EE7"/>
    <w:p w14:paraId="13D1BA85" w14:textId="77777777" w:rsidR="004F1918" w:rsidRDefault="004F1918" w:rsidP="00CD1EE7"/>
    <w:p w14:paraId="13D1BA86" w14:textId="77777777" w:rsidR="004F1918" w:rsidRDefault="004F1918" w:rsidP="00CD1EE7"/>
    <w:p w14:paraId="13D1BA87" w14:textId="77777777" w:rsidR="004F1918" w:rsidRDefault="004F1918" w:rsidP="00CD1EE7"/>
    <w:p w14:paraId="13D1BA88" w14:textId="77777777" w:rsidR="004F1918" w:rsidRDefault="004F1918" w:rsidP="00CD1EE7"/>
    <w:p w14:paraId="13D1BA89" w14:textId="29ABB727" w:rsidR="00DA49BA" w:rsidRDefault="00DA49BA" w:rsidP="00CD1EE7"/>
    <w:p w14:paraId="3B9E2BBC" w14:textId="51248E0F" w:rsidR="00D05BB9" w:rsidRDefault="00D05BB9" w:rsidP="00CD1EE7"/>
    <w:p w14:paraId="026AA673" w14:textId="77777777" w:rsidR="00D05BB9" w:rsidRDefault="00D05BB9" w:rsidP="00CD1EE7"/>
    <w:p w14:paraId="34305C01" w14:textId="77777777"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13290D3E" w14:textId="77777777" w:rsidR="00114F15" w:rsidRPr="00BD5266" w:rsidRDefault="00114F15" w:rsidP="00114F15">
      <w:pPr>
        <w:autoSpaceDE w:val="0"/>
        <w:autoSpaceDN w:val="0"/>
        <w:adjustRightInd w:val="0"/>
        <w:spacing w:line="220" w:lineRule="exact"/>
        <w:rPr>
          <w:rFonts w:cs="Lucida Sans Unicode"/>
          <w:b/>
          <w:bCs/>
          <w:sz w:val="18"/>
          <w:szCs w:val="18"/>
          <w:lang w:val="en-US"/>
        </w:rPr>
      </w:pPr>
      <w:r w:rsidRPr="00BD5266">
        <w:rPr>
          <w:rFonts w:cs="Lucida Sans Unicode"/>
          <w:b/>
          <w:bCs/>
          <w:sz w:val="18"/>
          <w:szCs w:val="18"/>
          <w:lang w:val="en-US"/>
        </w:rPr>
        <w:t>About Resource Efficiency</w:t>
      </w:r>
    </w:p>
    <w:p w14:paraId="28EDAFBC" w14:textId="77777777" w:rsidR="00114F15" w:rsidRPr="000E30FB" w:rsidRDefault="00114F15" w:rsidP="00114F15">
      <w:pPr>
        <w:autoSpaceDE w:val="0"/>
        <w:autoSpaceDN w:val="0"/>
        <w:adjustRightInd w:val="0"/>
        <w:spacing w:line="220" w:lineRule="exact"/>
        <w:rPr>
          <w:sz w:val="18"/>
          <w:szCs w:val="18"/>
          <w:lang w:val="en-US"/>
        </w:rPr>
      </w:pPr>
      <w:r w:rsidRPr="00BD5266">
        <w:rPr>
          <w:rFonts w:cs="Lucida Sans Unicode"/>
          <w:bCs/>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057982" w:rsidRDefault="00057982" w:rsidP="00FD1184">
      <w:r>
        <w:separator/>
      </w:r>
    </w:p>
  </w:endnote>
  <w:endnote w:type="continuationSeparator" w:id="0">
    <w:p w14:paraId="13D1BA95" w14:textId="77777777" w:rsidR="00057982" w:rsidRDefault="0005798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057982" w:rsidRDefault="00057982">
    <w:pPr>
      <w:pStyle w:val="Fuzeile"/>
    </w:pPr>
  </w:p>
  <w:p w14:paraId="13D1BA98" w14:textId="77777777" w:rsidR="00057982" w:rsidRDefault="0005798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057982" w:rsidRDefault="00057982" w:rsidP="00316EC0">
    <w:pPr>
      <w:pStyle w:val="Fuzeile"/>
    </w:pPr>
  </w:p>
  <w:p w14:paraId="13D1BA9B" w14:textId="77777777" w:rsidR="00057982" w:rsidRPr="005225EC" w:rsidRDefault="0005798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057982" w:rsidRDefault="00057982" w:rsidP="00FD1184">
      <w:r>
        <w:separator/>
      </w:r>
    </w:p>
  </w:footnote>
  <w:footnote w:type="continuationSeparator" w:id="0">
    <w:p w14:paraId="13D1BA93" w14:textId="77777777" w:rsidR="00057982" w:rsidRDefault="0005798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77777777" w:rsidR="00057982" w:rsidRPr="003F4CD0" w:rsidRDefault="0005798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3D1BA9E" wp14:editId="13D1BA9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057982" w:rsidRPr="003F4CD0" w:rsidRDefault="00057982">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982"/>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244"/>
    <w:rsid w:val="0088508F"/>
    <w:rsid w:val="00885442"/>
    <w:rsid w:val="00897078"/>
    <w:rsid w:val="008A0D35"/>
    <w:rsid w:val="008A2AE8"/>
    <w:rsid w:val="008A6BCD"/>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49BA"/>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voni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PR-Spherilex-en</DocumentTitle>
    <Website xmlns="c9d69675-c952-4463-a370-64d93cb945ad">
      <Value>Current</Value>
    </Website>
    <LanguageTree xmlns="c9d69675-c952-4463-a370-64d93cb945ad">
      <Value>EN</Value>
      <Value>ZH</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81E06E2D-E5FC-46A7-82C0-620B91325A7D}"/>
</file>

<file path=customXml/itemProps2.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3.xml><?xml version="1.0" encoding="utf-8"?>
<ds:datastoreItem xmlns:ds="http://schemas.openxmlformats.org/officeDocument/2006/customXml" ds:itemID="{B4D77B9B-E19B-4F60-A094-0BFDCD5BA2C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345d9ce-fe7f-4e7e-a7de-4b6d853660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59E3C8CC.dotm</Template>
  <TotalTime>0</TotalTime>
  <Pages>3</Pages>
  <Words>621</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4506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4</cp:revision>
  <cp:lastPrinted>2020-03-09T15:39:00Z</cp:lastPrinted>
  <dcterms:created xsi:type="dcterms:W3CDTF">2020-03-09T14:27:00Z</dcterms:created>
  <dcterms:modified xsi:type="dcterms:W3CDTF">2020-03-09T15:39:00Z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