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13D1BA5D" w14:textId="77777777" w:rsidTr="00D81410">
        <w:trPr>
          <w:trHeight w:val="851"/>
        </w:trPr>
        <w:tc>
          <w:tcPr>
            <w:tcW w:w="2552" w:type="dxa"/>
            <w:shd w:val="clear" w:color="auto" w:fill="auto"/>
          </w:tcPr>
          <w:p w14:paraId="13D1BA56" w14:textId="700270B8" w:rsidR="004F1918" w:rsidRPr="004F1918" w:rsidRDefault="00311463" w:rsidP="004F1918">
            <w:pPr>
              <w:pStyle w:val="M7"/>
              <w:framePr w:wrap="auto" w:vAnchor="margin" w:hAnchor="text" w:xAlign="left" w:yAlign="inline"/>
              <w:suppressOverlap w:val="0"/>
              <w:rPr>
                <w:b w:val="0"/>
                <w:sz w:val="18"/>
                <w:szCs w:val="18"/>
                <w:lang w:val="en-US"/>
              </w:rPr>
            </w:pPr>
            <w:r>
              <w:rPr>
                <w:b w:val="0"/>
                <w:sz w:val="18"/>
                <w:szCs w:val="18"/>
                <w:lang w:val="en-US"/>
              </w:rPr>
              <w:t>01</w:t>
            </w:r>
            <w:r w:rsidR="00846360">
              <w:rPr>
                <w:b w:val="0"/>
                <w:sz w:val="18"/>
                <w:szCs w:val="18"/>
                <w:lang w:val="en-US"/>
              </w:rPr>
              <w:t>.0</w:t>
            </w:r>
            <w:r>
              <w:rPr>
                <w:b w:val="0"/>
                <w:sz w:val="18"/>
                <w:szCs w:val="18"/>
                <w:lang w:val="en-US"/>
              </w:rPr>
              <w:t>9</w:t>
            </w:r>
            <w:r w:rsidR="00864244">
              <w:rPr>
                <w:b w:val="0"/>
                <w:sz w:val="18"/>
                <w:szCs w:val="18"/>
                <w:lang w:val="en-US"/>
              </w:rPr>
              <w:t>.2020</w:t>
            </w:r>
          </w:p>
          <w:p w14:paraId="13D1BA57" w14:textId="77777777" w:rsidR="004F1918" w:rsidRDefault="004F1918" w:rsidP="004F1918">
            <w:pPr>
              <w:pStyle w:val="M7"/>
              <w:framePr w:wrap="auto" w:vAnchor="margin" w:hAnchor="text" w:xAlign="left" w:yAlign="inline"/>
              <w:suppressOverlap w:val="0"/>
              <w:rPr>
                <w:lang w:val="en-US"/>
              </w:rPr>
            </w:pPr>
          </w:p>
          <w:p w14:paraId="13D1BA58" w14:textId="77777777" w:rsidR="004F1918" w:rsidRDefault="004F1918" w:rsidP="004F1918">
            <w:pPr>
              <w:pStyle w:val="M7"/>
              <w:framePr w:wrap="auto" w:vAnchor="margin" w:hAnchor="text" w:xAlign="left" w:yAlign="inline"/>
              <w:suppressOverlap w:val="0"/>
              <w:rPr>
                <w:lang w:val="en-US"/>
              </w:rPr>
            </w:pPr>
          </w:p>
          <w:p w14:paraId="13D1BA59" w14:textId="202F372C" w:rsidR="00BF555F" w:rsidRPr="003C0369" w:rsidRDefault="00BF555F" w:rsidP="00BF555F">
            <w:pPr>
              <w:pStyle w:val="M8"/>
              <w:framePr w:wrap="auto" w:vAnchor="margin" w:hAnchor="text" w:xAlign="left" w:yAlign="inline"/>
              <w:suppressOverlap w:val="0"/>
              <w:rPr>
                <w:rFonts w:ascii="Lucida Sans" w:hAnsi="Lucida Sans"/>
                <w:b/>
                <w:lang w:val="en-US"/>
              </w:rPr>
            </w:pPr>
            <w:r w:rsidRPr="003C0369">
              <w:rPr>
                <w:rFonts w:cs="Lucida Sans Unicode"/>
                <w:b/>
                <w:lang w:val="en-US"/>
              </w:rPr>
              <w:t>Contact</w:t>
            </w:r>
            <w:r>
              <w:rPr>
                <w:rFonts w:cs="Lucida Sans Unicode"/>
                <w:b/>
                <w:lang w:val="en-US"/>
              </w:rPr>
              <w:t xml:space="preserve"> specialized press</w:t>
            </w:r>
            <w:r w:rsidRPr="003C0369">
              <w:rPr>
                <w:rFonts w:cs="Lucida Sans Unicode"/>
                <w:b/>
                <w:lang w:val="en-US"/>
              </w:rPr>
              <w:br/>
            </w:r>
            <w:r w:rsidR="00864244">
              <w:rPr>
                <w:rFonts w:ascii="Lucida Sans" w:hAnsi="Lucida Sans"/>
                <w:b/>
                <w:lang w:val="en-US"/>
              </w:rPr>
              <w:t>Thomas Lange</w:t>
            </w:r>
          </w:p>
          <w:p w14:paraId="13D1BA5A" w14:textId="2484862C" w:rsidR="003867B7" w:rsidRDefault="00A62339"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Phone</w:t>
            </w:r>
            <w:r w:rsidR="00BF555F" w:rsidRPr="007F3149">
              <w:rPr>
                <w:rFonts w:ascii="Lucida Sans" w:hAnsi="Lucida Sans"/>
                <w:lang w:val="en-US"/>
              </w:rPr>
              <w:t xml:space="preserve"> +49 </w:t>
            </w:r>
            <w:r w:rsidR="00864244">
              <w:rPr>
                <w:rFonts w:ascii="Lucida Sans" w:hAnsi="Lucida Sans"/>
                <w:lang w:val="en-US"/>
              </w:rPr>
              <w:t>201 173-3050</w:t>
            </w:r>
            <w:r w:rsidR="00BF555F" w:rsidRPr="007F3149">
              <w:rPr>
                <w:rFonts w:ascii="Lucida Sans" w:hAnsi="Lucida Sans"/>
                <w:lang w:val="en-US"/>
              </w:rPr>
              <w:t xml:space="preserve"> </w:t>
            </w:r>
          </w:p>
          <w:p w14:paraId="13D1BA5B" w14:textId="6C5E2F99" w:rsidR="00BF555F" w:rsidRPr="003867B7" w:rsidRDefault="00864244" w:rsidP="003867B7">
            <w:pPr>
              <w:pStyle w:val="M9"/>
              <w:framePr w:wrap="auto" w:vAnchor="margin" w:hAnchor="text" w:xAlign="left" w:yAlign="inline"/>
              <w:suppressOverlap w:val="0"/>
              <w:rPr>
                <w:rFonts w:ascii="Lucida Sans" w:hAnsi="Lucida Sans"/>
                <w:lang w:val="en-US"/>
              </w:rPr>
            </w:pPr>
            <w:r>
              <w:rPr>
                <w:rFonts w:ascii="Lucida Sans" w:hAnsi="Lucida Sans"/>
                <w:lang w:val="en-US"/>
              </w:rPr>
              <w:t>thomas.lange2</w:t>
            </w:r>
            <w:r w:rsidR="00BF555F" w:rsidRPr="003867B7">
              <w:rPr>
                <w:rFonts w:ascii="Lucida Sans" w:hAnsi="Lucida Sans"/>
                <w:lang w:val="en-US"/>
              </w:rPr>
              <w:t>@evonik.com</w:t>
            </w:r>
          </w:p>
          <w:p w14:paraId="13D1BA5C" w14:textId="77777777" w:rsidR="004F1918" w:rsidRDefault="004F1918" w:rsidP="004F1918">
            <w:pPr>
              <w:pStyle w:val="M10"/>
              <w:framePr w:wrap="auto" w:vAnchor="margin" w:hAnchor="text" w:xAlign="left" w:yAlign="inline"/>
              <w:suppressOverlap w:val="0"/>
            </w:pPr>
          </w:p>
        </w:tc>
      </w:tr>
      <w:tr w:rsidR="004F1918" w:rsidRPr="00344D49" w14:paraId="13D1BA60" w14:textId="77777777" w:rsidTr="00D81410">
        <w:trPr>
          <w:trHeight w:val="851"/>
        </w:trPr>
        <w:tc>
          <w:tcPr>
            <w:tcW w:w="2552" w:type="dxa"/>
            <w:shd w:val="clear" w:color="auto" w:fill="auto"/>
          </w:tcPr>
          <w:p w14:paraId="13D1BA5E" w14:textId="77777777" w:rsidR="004F1918" w:rsidRPr="00E12886" w:rsidRDefault="004F1918" w:rsidP="004F1918">
            <w:pPr>
              <w:pStyle w:val="M12"/>
              <w:framePr w:wrap="auto" w:vAnchor="margin" w:hAnchor="text" w:xAlign="left" w:yAlign="inline"/>
              <w:suppressOverlap w:val="0"/>
              <w:rPr>
                <w:lang w:val="en-US"/>
              </w:rPr>
            </w:pPr>
          </w:p>
          <w:p w14:paraId="13D1BA5F" w14:textId="77777777" w:rsidR="004F1918" w:rsidRPr="00F31F7C" w:rsidRDefault="004F1918" w:rsidP="00BF555F">
            <w:pPr>
              <w:pStyle w:val="M10"/>
              <w:framePr w:wrap="auto" w:vAnchor="margin" w:hAnchor="text" w:xAlign="left" w:yAlign="inline"/>
              <w:suppressOverlap w:val="0"/>
              <w:rPr>
                <w:lang w:val="en-US"/>
              </w:rPr>
            </w:pPr>
          </w:p>
        </w:tc>
      </w:tr>
    </w:tbl>
    <w:p w14:paraId="601C3E5D" w14:textId="77777777" w:rsidR="00066D1A" w:rsidRDefault="00066D1A" w:rsidP="00066D1A">
      <w:pPr>
        <w:framePr w:w="2659" w:wrap="around" w:hAnchor="page" w:x="8971" w:yAlign="bottom" w:anchorLock="1"/>
        <w:tabs>
          <w:tab w:val="left" w:pos="518"/>
        </w:tabs>
        <w:spacing w:line="180" w:lineRule="exact"/>
        <w:rPr>
          <w:noProof/>
          <w:sz w:val="13"/>
          <w:lang w:val="en-US"/>
        </w:rPr>
      </w:pPr>
      <w:r>
        <w:rPr>
          <w:b/>
          <w:noProof/>
          <w:sz w:val="13"/>
          <w:lang w:val="en-US"/>
        </w:rPr>
        <w:t>Evonik Industries AG</w:t>
      </w:r>
    </w:p>
    <w:p w14:paraId="36916AD4" w14:textId="77777777" w:rsidR="00066D1A" w:rsidRDefault="00066D1A" w:rsidP="00066D1A">
      <w:pPr>
        <w:framePr w:w="2659" w:wrap="around" w:hAnchor="page" w:x="8971" w:yAlign="bottom" w:anchorLock="1"/>
        <w:tabs>
          <w:tab w:val="left" w:pos="518"/>
        </w:tabs>
        <w:spacing w:line="180" w:lineRule="exact"/>
        <w:rPr>
          <w:noProof/>
          <w:sz w:val="13"/>
          <w:lang w:val="en-US"/>
        </w:rPr>
      </w:pPr>
      <w:r>
        <w:rPr>
          <w:noProof/>
          <w:sz w:val="13"/>
          <w:lang w:val="en-US"/>
        </w:rPr>
        <w:t>Rellinghauser Straße 1-11</w:t>
      </w:r>
    </w:p>
    <w:p w14:paraId="03BC06DC" w14:textId="77777777" w:rsidR="00066D1A" w:rsidRDefault="00066D1A" w:rsidP="00066D1A">
      <w:pPr>
        <w:framePr w:w="2659" w:wrap="around" w:hAnchor="page" w:x="8971" w:yAlign="bottom" w:anchorLock="1"/>
        <w:tabs>
          <w:tab w:val="left" w:pos="518"/>
        </w:tabs>
        <w:spacing w:line="180" w:lineRule="exact"/>
        <w:rPr>
          <w:noProof/>
          <w:sz w:val="13"/>
          <w:lang w:val="en-US"/>
        </w:rPr>
      </w:pPr>
      <w:r>
        <w:rPr>
          <w:noProof/>
          <w:sz w:val="13"/>
          <w:lang w:val="en-US"/>
        </w:rPr>
        <w:t>45128 Essen</w:t>
      </w:r>
    </w:p>
    <w:p w14:paraId="5F5FD01B" w14:textId="77777777" w:rsidR="00066D1A" w:rsidRDefault="00066D1A" w:rsidP="00066D1A">
      <w:pPr>
        <w:framePr w:w="2659" w:wrap="around" w:hAnchor="page" w:x="8971" w:yAlign="bottom" w:anchorLock="1"/>
        <w:tabs>
          <w:tab w:val="left" w:pos="518"/>
        </w:tabs>
        <w:spacing w:line="180" w:lineRule="exact"/>
        <w:rPr>
          <w:noProof/>
          <w:sz w:val="13"/>
          <w:lang w:val="en-US"/>
        </w:rPr>
      </w:pPr>
      <w:r>
        <w:rPr>
          <w:noProof/>
          <w:sz w:val="13"/>
          <w:lang w:val="en-US"/>
        </w:rPr>
        <w:t>Phone +49 201 177-01</w:t>
      </w:r>
    </w:p>
    <w:p w14:paraId="79BF7FC2" w14:textId="77777777" w:rsidR="00066D1A" w:rsidRDefault="00066D1A" w:rsidP="00066D1A">
      <w:pPr>
        <w:framePr w:w="2659" w:wrap="around" w:hAnchor="page" w:x="8971" w:yAlign="bottom" w:anchorLock="1"/>
        <w:tabs>
          <w:tab w:val="left" w:pos="518"/>
        </w:tabs>
        <w:spacing w:line="180" w:lineRule="exact"/>
        <w:rPr>
          <w:noProof/>
          <w:sz w:val="13"/>
          <w:lang w:val="en-US"/>
        </w:rPr>
      </w:pPr>
      <w:r>
        <w:rPr>
          <w:noProof/>
          <w:sz w:val="13"/>
          <w:lang w:val="en-US"/>
        </w:rPr>
        <w:t>Fax +49 201 177-3475</w:t>
      </w:r>
    </w:p>
    <w:p w14:paraId="42954185" w14:textId="33666AFC" w:rsidR="00066D1A" w:rsidRDefault="005150A1" w:rsidP="00066D1A">
      <w:pPr>
        <w:framePr w:w="2659" w:wrap="around" w:hAnchor="page" w:x="8971" w:yAlign="bottom" w:anchorLock="1"/>
        <w:tabs>
          <w:tab w:val="left" w:pos="518"/>
        </w:tabs>
        <w:spacing w:line="180" w:lineRule="exact"/>
        <w:rPr>
          <w:noProof/>
          <w:sz w:val="13"/>
          <w:lang w:val="en-US"/>
        </w:rPr>
      </w:pPr>
      <w:hyperlink r:id="rId10" w:history="1">
        <w:r w:rsidR="00066D1A">
          <w:rPr>
            <w:rStyle w:val="Hyperlink"/>
            <w:noProof/>
            <w:sz w:val="13"/>
            <w:lang w:val="en-US"/>
          </w:rPr>
          <w:t>www.evonik.</w:t>
        </w:r>
      </w:hyperlink>
      <w:r w:rsidR="00066D1A">
        <w:rPr>
          <w:rStyle w:val="Hyperlink"/>
          <w:noProof/>
          <w:sz w:val="13"/>
          <w:lang w:val="en-US"/>
        </w:rPr>
        <w:t>com</w:t>
      </w:r>
    </w:p>
    <w:p w14:paraId="72FF5185" w14:textId="77777777" w:rsidR="00066D1A" w:rsidRDefault="00066D1A" w:rsidP="00066D1A">
      <w:pPr>
        <w:framePr w:w="2659" w:wrap="around" w:hAnchor="page" w:x="8971" w:yAlign="bottom" w:anchorLock="1"/>
        <w:tabs>
          <w:tab w:val="left" w:pos="518"/>
        </w:tabs>
        <w:spacing w:line="180" w:lineRule="exact"/>
        <w:rPr>
          <w:noProof/>
          <w:sz w:val="13"/>
          <w:lang w:val="en-US"/>
        </w:rPr>
      </w:pPr>
    </w:p>
    <w:p w14:paraId="47E76316" w14:textId="77777777" w:rsidR="00066D1A" w:rsidRDefault="00066D1A" w:rsidP="00066D1A">
      <w:pPr>
        <w:framePr w:w="2659" w:wrap="around" w:hAnchor="page" w:x="8971" w:yAlign="bottom" w:anchorLock="1"/>
        <w:tabs>
          <w:tab w:val="left" w:pos="518"/>
        </w:tabs>
        <w:spacing w:line="180" w:lineRule="exact"/>
        <w:rPr>
          <w:noProof/>
          <w:sz w:val="13"/>
          <w:lang w:val="en-US"/>
        </w:rPr>
      </w:pPr>
    </w:p>
    <w:p w14:paraId="12D121EE" w14:textId="77777777" w:rsidR="00066D1A" w:rsidRDefault="00066D1A" w:rsidP="00066D1A">
      <w:pPr>
        <w:framePr w:w="2659" w:wrap="around" w:hAnchor="page" w:x="8971" w:yAlign="bottom" w:anchorLock="1"/>
        <w:spacing w:line="180" w:lineRule="exact"/>
        <w:rPr>
          <w:noProof/>
          <w:sz w:val="13"/>
          <w:szCs w:val="13"/>
        </w:rPr>
      </w:pPr>
      <w:r>
        <w:rPr>
          <w:b/>
          <w:noProof/>
          <w:sz w:val="13"/>
          <w:szCs w:val="13"/>
          <w:lang w:val="en-US"/>
        </w:rPr>
        <w:t>Supervisory Board</w:t>
      </w:r>
      <w:r>
        <w:rPr>
          <w:noProof/>
          <w:sz w:val="13"/>
          <w:szCs w:val="13"/>
          <w:lang w:val="en-US"/>
        </w:rPr>
        <w:br/>
        <w:t>Bernd Tönjes, Chairman</w:t>
      </w:r>
    </w:p>
    <w:p w14:paraId="7C0F6041" w14:textId="77777777" w:rsidR="00066D1A" w:rsidRDefault="00066D1A" w:rsidP="00066D1A">
      <w:pPr>
        <w:framePr w:w="2659" w:wrap="around" w:hAnchor="page" w:x="8971" w:yAlign="bottom" w:anchorLock="1"/>
        <w:tabs>
          <w:tab w:val="left" w:pos="518"/>
        </w:tabs>
        <w:spacing w:line="180" w:lineRule="exact"/>
        <w:rPr>
          <w:noProof/>
          <w:sz w:val="13"/>
        </w:rPr>
      </w:pPr>
    </w:p>
    <w:p w14:paraId="74EC91AD" w14:textId="77777777" w:rsidR="00066D1A" w:rsidRDefault="00066D1A" w:rsidP="00066D1A">
      <w:pPr>
        <w:framePr w:w="2659" w:wrap="around" w:hAnchor="page" w:x="8971" w:yAlign="bottom" w:anchorLock="1"/>
        <w:tabs>
          <w:tab w:val="left" w:pos="518"/>
        </w:tabs>
        <w:spacing w:line="180" w:lineRule="exact"/>
        <w:rPr>
          <w:noProof/>
          <w:sz w:val="13"/>
          <w:lang w:val="en-US"/>
        </w:rPr>
      </w:pPr>
      <w:r>
        <w:rPr>
          <w:b/>
          <w:noProof/>
          <w:sz w:val="13"/>
          <w:lang w:val="en-US"/>
        </w:rPr>
        <w:t>Executive Board</w:t>
      </w:r>
    </w:p>
    <w:p w14:paraId="329D81A0" w14:textId="77777777" w:rsidR="00066D1A" w:rsidRDefault="00066D1A" w:rsidP="00066D1A">
      <w:pPr>
        <w:framePr w:w="2659" w:wrap="around" w:hAnchor="page" w:x="8971" w:yAlign="bottom" w:anchorLock="1"/>
        <w:tabs>
          <w:tab w:val="left" w:pos="518"/>
        </w:tabs>
        <w:spacing w:line="180" w:lineRule="exact"/>
        <w:rPr>
          <w:noProof/>
          <w:sz w:val="13"/>
          <w:lang w:val="en-US"/>
        </w:rPr>
      </w:pPr>
      <w:r>
        <w:rPr>
          <w:rFonts w:eastAsiaTheme="minorEastAsia"/>
          <w:noProof/>
          <w:color w:val="0D0D0D" w:themeColor="text1" w:themeTint="F2"/>
          <w:sz w:val="13"/>
          <w:szCs w:val="13"/>
        </w:rPr>
        <w:t>Christian Kullmann, Chairman</w:t>
      </w:r>
      <w:r>
        <w:rPr>
          <w:rFonts w:eastAsiaTheme="minorEastAsia"/>
          <w:noProof/>
          <w:color w:val="0D0D0D" w:themeColor="text1" w:themeTint="F2"/>
          <w:sz w:val="13"/>
          <w:szCs w:val="13"/>
        </w:rPr>
        <w:br/>
        <w:t>Dr. Harald Schwager, Deputy Chairman</w:t>
      </w:r>
      <w:r>
        <w:rPr>
          <w:rFonts w:eastAsiaTheme="minorEastAsia"/>
          <w:noProof/>
          <w:color w:val="0D0D0D" w:themeColor="text1" w:themeTint="F2"/>
          <w:sz w:val="13"/>
          <w:szCs w:val="13"/>
        </w:rPr>
        <w:br/>
        <w:t>Thomas Wessel</w:t>
      </w:r>
      <w:r>
        <w:rPr>
          <w:rFonts w:eastAsiaTheme="minorEastAsia"/>
          <w:noProof/>
          <w:color w:val="0D0D0D" w:themeColor="text1" w:themeTint="F2"/>
          <w:sz w:val="13"/>
          <w:szCs w:val="13"/>
        </w:rPr>
        <w:br/>
        <w:t>Ute Wolf</w:t>
      </w:r>
      <w:r>
        <w:rPr>
          <w:rFonts w:eastAsiaTheme="minorEastAsia"/>
          <w:noProof/>
          <w:color w:val="0D0D0D" w:themeColor="text1" w:themeTint="F2"/>
          <w:sz w:val="13"/>
          <w:szCs w:val="13"/>
        </w:rPr>
        <w:br/>
      </w:r>
    </w:p>
    <w:p w14:paraId="5F82A0A1" w14:textId="77777777" w:rsidR="00066D1A" w:rsidRDefault="00066D1A" w:rsidP="00066D1A">
      <w:pPr>
        <w:framePr w:w="2659" w:wrap="around" w:hAnchor="page" w:x="8971" w:yAlign="bottom" w:anchorLock="1"/>
        <w:tabs>
          <w:tab w:val="left" w:pos="518"/>
        </w:tabs>
        <w:spacing w:line="180" w:lineRule="exact"/>
        <w:rPr>
          <w:noProof/>
          <w:sz w:val="13"/>
          <w:lang w:val="en-US"/>
        </w:rPr>
      </w:pPr>
    </w:p>
    <w:p w14:paraId="31592199" w14:textId="77777777" w:rsidR="00066D1A" w:rsidRDefault="00066D1A" w:rsidP="00066D1A">
      <w:pPr>
        <w:framePr w:w="2659" w:wrap="around" w:hAnchor="page" w:x="8971" w:yAlign="bottom" w:anchorLock="1"/>
        <w:tabs>
          <w:tab w:val="left" w:pos="518"/>
        </w:tabs>
        <w:spacing w:line="180" w:lineRule="exact"/>
        <w:rPr>
          <w:noProof/>
          <w:sz w:val="13"/>
          <w:lang w:val="en-US"/>
        </w:rPr>
      </w:pPr>
      <w:r>
        <w:rPr>
          <w:noProof/>
          <w:sz w:val="13"/>
          <w:lang w:val="en-US"/>
        </w:rPr>
        <w:t>Registered Office: Essen</w:t>
      </w:r>
    </w:p>
    <w:p w14:paraId="436AADA5" w14:textId="77777777" w:rsidR="00066D1A" w:rsidRDefault="00066D1A" w:rsidP="00066D1A">
      <w:pPr>
        <w:framePr w:w="2659" w:wrap="around" w:hAnchor="page" w:x="8971" w:yAlign="bottom" w:anchorLock="1"/>
        <w:tabs>
          <w:tab w:val="left" w:pos="518"/>
        </w:tabs>
        <w:spacing w:line="180" w:lineRule="exact"/>
        <w:rPr>
          <w:noProof/>
          <w:sz w:val="13"/>
          <w:lang w:val="en-US"/>
        </w:rPr>
      </w:pPr>
      <w:r>
        <w:rPr>
          <w:noProof/>
          <w:sz w:val="13"/>
          <w:lang w:val="en-US"/>
        </w:rPr>
        <w:t>Register Court: Essen Local Court</w:t>
      </w:r>
    </w:p>
    <w:p w14:paraId="6E945C38" w14:textId="77777777" w:rsidR="00066D1A" w:rsidRDefault="00066D1A" w:rsidP="00066D1A">
      <w:pPr>
        <w:framePr w:w="2659" w:wrap="around" w:hAnchor="page" w:x="8971" w:yAlign="bottom" w:anchorLock="1"/>
        <w:tabs>
          <w:tab w:val="left" w:pos="518"/>
        </w:tabs>
        <w:spacing w:line="180" w:lineRule="exact"/>
        <w:rPr>
          <w:noProof/>
          <w:sz w:val="13"/>
          <w:lang w:val="en-US"/>
        </w:rPr>
      </w:pPr>
      <w:r>
        <w:rPr>
          <w:noProof/>
          <w:sz w:val="13"/>
          <w:lang w:val="en-US"/>
        </w:rPr>
        <w:t>Commercial Registry B 19474</w:t>
      </w:r>
    </w:p>
    <w:p w14:paraId="4CA2C2E9" w14:textId="77777777" w:rsidR="00066D1A" w:rsidRDefault="00066D1A" w:rsidP="00066D1A">
      <w:pPr>
        <w:framePr w:w="2659" w:wrap="around" w:hAnchor="page" w:x="8971" w:yAlign="bottom" w:anchorLock="1"/>
        <w:tabs>
          <w:tab w:val="left" w:pos="518"/>
        </w:tabs>
        <w:spacing w:line="180" w:lineRule="exact"/>
        <w:rPr>
          <w:noProof/>
          <w:sz w:val="13"/>
          <w:lang w:val="en-US"/>
        </w:rPr>
      </w:pPr>
      <w:r>
        <w:rPr>
          <w:noProof/>
          <w:sz w:val="13"/>
          <w:lang w:val="en-US"/>
        </w:rPr>
        <w:t>VAT ID no. DE 811160003</w:t>
      </w:r>
    </w:p>
    <w:p w14:paraId="465D75A8" w14:textId="15BA2617" w:rsidR="00311463" w:rsidRDefault="00311463" w:rsidP="00311463">
      <w:pPr>
        <w:rPr>
          <w:rFonts w:cs="Lucida Sans Unicode"/>
          <w:b/>
          <w:bCs/>
          <w:color w:val="0D0D0D"/>
          <w:sz w:val="24"/>
        </w:rPr>
      </w:pPr>
      <w:r w:rsidRPr="00311463">
        <w:rPr>
          <w:rFonts w:cs="Lucida Sans Unicode"/>
          <w:b/>
          <w:bCs/>
          <w:color w:val="0D0D0D"/>
          <w:sz w:val="24"/>
        </w:rPr>
        <w:t xml:space="preserve">Superior performance without side effects? This defoamer </w:t>
      </w:r>
      <w:r w:rsidR="002405A1">
        <w:rPr>
          <w:rFonts w:cs="Lucida Sans Unicode"/>
          <w:b/>
          <w:bCs/>
          <w:color w:val="0D0D0D"/>
          <w:sz w:val="24"/>
        </w:rPr>
        <w:t>makes it happen!</w:t>
      </w:r>
    </w:p>
    <w:p w14:paraId="635047EA" w14:textId="77777777" w:rsidR="00311463" w:rsidRPr="00311463" w:rsidRDefault="00311463" w:rsidP="00311463">
      <w:pPr>
        <w:rPr>
          <w:rFonts w:cs="Lucida Sans Unicode"/>
          <w:b/>
          <w:bCs/>
          <w:color w:val="0D0D0D"/>
          <w:sz w:val="24"/>
        </w:rPr>
      </w:pPr>
    </w:p>
    <w:p w14:paraId="6D09AC0C" w14:textId="25AF04F2" w:rsidR="00846360" w:rsidRDefault="00846360" w:rsidP="00846360">
      <w:pPr>
        <w:ind w:right="30"/>
        <w:rPr>
          <w:rFonts w:eastAsiaTheme="majorEastAsia" w:cs="Lucida Sans Unicode"/>
          <w:b/>
          <w:color w:val="0D0D0D"/>
          <w:sz w:val="24"/>
          <w:lang w:eastAsia="zh-CN"/>
        </w:rPr>
      </w:pPr>
    </w:p>
    <w:p w14:paraId="1F97EEE3" w14:textId="77777777" w:rsidR="00311463" w:rsidRPr="00311463" w:rsidRDefault="00311463" w:rsidP="00311463">
      <w:pPr>
        <w:pStyle w:val="Listenabsatz"/>
        <w:numPr>
          <w:ilvl w:val="0"/>
          <w:numId w:val="37"/>
        </w:numPr>
        <w:spacing w:after="0" w:line="240" w:lineRule="auto"/>
        <w:rPr>
          <w:rFonts w:ascii="Lucida Sans Unicode" w:hAnsi="Lucida Sans Unicode" w:cs="Lucida Sans Unicode"/>
          <w:bCs/>
          <w:iCs/>
          <w:color w:val="0D0D0D"/>
          <w:sz w:val="24"/>
          <w:szCs w:val="24"/>
        </w:rPr>
      </w:pPr>
      <w:r w:rsidRPr="00311463">
        <w:rPr>
          <w:rFonts w:ascii="Lucida Sans Unicode" w:hAnsi="Lucida Sans Unicode" w:cs="Lucida Sans Unicode"/>
          <w:bCs/>
          <w:iCs/>
          <w:color w:val="0D0D0D"/>
          <w:sz w:val="24"/>
          <w:szCs w:val="24"/>
        </w:rPr>
        <w:t>Unique combination of strength and compatibility</w:t>
      </w:r>
    </w:p>
    <w:p w14:paraId="22B4459F" w14:textId="77777777" w:rsidR="00311463" w:rsidRPr="00311463" w:rsidRDefault="00311463" w:rsidP="00311463">
      <w:pPr>
        <w:pStyle w:val="Listenabsatz"/>
        <w:numPr>
          <w:ilvl w:val="0"/>
          <w:numId w:val="37"/>
        </w:numPr>
        <w:spacing w:after="0" w:line="240" w:lineRule="auto"/>
        <w:rPr>
          <w:rFonts w:ascii="Lucida Sans Unicode" w:hAnsi="Lucida Sans Unicode" w:cs="Lucida Sans Unicode"/>
          <w:bCs/>
          <w:iCs/>
          <w:color w:val="0D0D0D"/>
          <w:sz w:val="24"/>
          <w:szCs w:val="24"/>
        </w:rPr>
      </w:pPr>
      <w:r w:rsidRPr="00311463">
        <w:rPr>
          <w:rFonts w:ascii="Lucida Sans Unicode" w:hAnsi="Lucida Sans Unicode" w:cs="Lucida Sans Unicode"/>
          <w:bCs/>
          <w:iCs/>
          <w:color w:val="0D0D0D"/>
          <w:sz w:val="24"/>
          <w:szCs w:val="24"/>
        </w:rPr>
        <w:t xml:space="preserve">Suitable for food packaging </w:t>
      </w:r>
    </w:p>
    <w:p w14:paraId="78DF9F5A" w14:textId="77777777" w:rsidR="00311463" w:rsidRPr="00311463" w:rsidRDefault="00311463" w:rsidP="00311463">
      <w:pPr>
        <w:pStyle w:val="Listenabsatz"/>
        <w:numPr>
          <w:ilvl w:val="0"/>
          <w:numId w:val="37"/>
        </w:numPr>
        <w:spacing w:after="0" w:line="240" w:lineRule="auto"/>
        <w:rPr>
          <w:rFonts w:ascii="Lucida Sans Unicode" w:hAnsi="Lucida Sans Unicode" w:cs="Lucida Sans Unicode"/>
          <w:bCs/>
          <w:iCs/>
          <w:color w:val="0D0D0D"/>
          <w:sz w:val="24"/>
          <w:szCs w:val="24"/>
        </w:rPr>
      </w:pPr>
      <w:r w:rsidRPr="00311463">
        <w:rPr>
          <w:rFonts w:ascii="Lucida Sans Unicode" w:hAnsi="Lucida Sans Unicode" w:cs="Lucida Sans Unicode"/>
          <w:bCs/>
          <w:iCs/>
          <w:color w:val="0D0D0D"/>
          <w:sz w:val="24"/>
          <w:szCs w:val="24"/>
        </w:rPr>
        <w:t>Good shear resistance and long-lasting effectiveness</w:t>
      </w:r>
    </w:p>
    <w:p w14:paraId="35F1418C" w14:textId="77777777" w:rsidR="00311463" w:rsidRPr="00311463" w:rsidRDefault="00311463" w:rsidP="00311463">
      <w:pPr>
        <w:rPr>
          <w:rFonts w:cs="Lucida Sans Unicode"/>
          <w:b/>
          <w:bCs/>
          <w:iCs/>
          <w:color w:val="0D0D0D"/>
          <w:sz w:val="24"/>
        </w:rPr>
      </w:pPr>
    </w:p>
    <w:p w14:paraId="0CED88A4" w14:textId="77777777" w:rsidR="002405A1" w:rsidRPr="002405A1" w:rsidRDefault="002405A1" w:rsidP="002405A1">
      <w:pPr>
        <w:rPr>
          <w:rFonts w:cs="Lucida Sans Unicode"/>
          <w:bCs/>
          <w:color w:val="0D0D0D"/>
          <w:sz w:val="24"/>
        </w:rPr>
      </w:pPr>
      <w:r w:rsidRPr="002405A1">
        <w:rPr>
          <w:rFonts w:cs="Lucida Sans Unicode"/>
          <w:bCs/>
          <w:color w:val="0D0D0D"/>
          <w:sz w:val="24"/>
        </w:rPr>
        <w:t xml:space="preserve">There is usually one iron rule with regards to the development of defoamers for paints and coatings: The stronger the defoaming strength, the higher the incompatibility – and therefore the risk of surface defects such as craters. </w:t>
      </w:r>
    </w:p>
    <w:p w14:paraId="0F9FA22B" w14:textId="77777777" w:rsidR="002405A1" w:rsidRPr="002405A1" w:rsidRDefault="002405A1" w:rsidP="002405A1">
      <w:pPr>
        <w:rPr>
          <w:rFonts w:cs="Lucida Sans Unicode"/>
          <w:bCs/>
          <w:color w:val="0D0D0D"/>
          <w:sz w:val="24"/>
        </w:rPr>
      </w:pPr>
    </w:p>
    <w:p w14:paraId="7A1D1400" w14:textId="77777777" w:rsidR="002405A1" w:rsidRPr="002405A1" w:rsidRDefault="002405A1" w:rsidP="002405A1">
      <w:pPr>
        <w:rPr>
          <w:rFonts w:cs="Lucida Sans Unicode"/>
          <w:bCs/>
          <w:color w:val="0D0D0D"/>
          <w:sz w:val="24"/>
        </w:rPr>
      </w:pPr>
      <w:r w:rsidRPr="002405A1">
        <w:rPr>
          <w:rFonts w:cs="Lucida Sans Unicode"/>
          <w:bCs/>
          <w:color w:val="0D0D0D"/>
          <w:sz w:val="24"/>
        </w:rPr>
        <w:t xml:space="preserve">This relationship between effectiveness and compatibility is linear for defoamers, turning new product development into a balancing act. The question must always be addressed:  Which is more important – effectiveness or compatibility? Increasing one sacrifices the other, which is why the use of any defoamer needs to be carefully assessed. </w:t>
      </w:r>
    </w:p>
    <w:p w14:paraId="48952FAC" w14:textId="77777777" w:rsidR="002405A1" w:rsidRPr="002405A1" w:rsidRDefault="002405A1" w:rsidP="002405A1">
      <w:pPr>
        <w:rPr>
          <w:rFonts w:cs="Lucida Sans Unicode"/>
          <w:bCs/>
          <w:color w:val="0D0D0D"/>
          <w:sz w:val="24"/>
        </w:rPr>
      </w:pPr>
    </w:p>
    <w:p w14:paraId="1E52B413" w14:textId="77777777" w:rsidR="002405A1" w:rsidRPr="002405A1" w:rsidRDefault="002405A1" w:rsidP="002405A1">
      <w:pPr>
        <w:rPr>
          <w:rFonts w:cs="Lucida Sans Unicode"/>
          <w:bCs/>
          <w:color w:val="0D0D0D"/>
          <w:sz w:val="24"/>
        </w:rPr>
      </w:pPr>
      <w:r w:rsidRPr="002405A1">
        <w:rPr>
          <w:rFonts w:cs="Lucida Sans Unicode"/>
          <w:bCs/>
          <w:sz w:val="24"/>
        </w:rPr>
        <w:t xml:space="preserve">But with knowledge and new insights, even seemingly rigid rules can be overcome – and that’s exactly what Evonik’s </w:t>
      </w:r>
      <w:r w:rsidRPr="002405A1">
        <w:rPr>
          <w:rFonts w:cs="Lucida Sans Unicode"/>
          <w:bCs/>
          <w:color w:val="0D0D0D"/>
          <w:sz w:val="24"/>
        </w:rPr>
        <w:t>Coating Additives Business Line has done. The novel defoamer TEGO</w:t>
      </w:r>
      <w:r w:rsidRPr="002405A1">
        <w:rPr>
          <w:rFonts w:cs="Lucida Sans Unicode"/>
          <w:bCs/>
          <w:color w:val="0D0D0D"/>
          <w:sz w:val="24"/>
          <w:vertAlign w:val="superscript"/>
        </w:rPr>
        <w:t>®</w:t>
      </w:r>
      <w:r w:rsidRPr="002405A1">
        <w:rPr>
          <w:rFonts w:cs="Lucida Sans Unicode"/>
          <w:bCs/>
          <w:color w:val="0D0D0D"/>
          <w:sz w:val="24"/>
        </w:rPr>
        <w:t xml:space="preserve"> Foamex 852 provides a unique combination of effectiveness and compatibility, offered by no other product on the market. This new, patent-pending technology offers formulators a new level of freedom: You’ve achieved the desired compatibility, but are you still experiencing excessive foaming? TEGO</w:t>
      </w:r>
      <w:r w:rsidRPr="002405A1">
        <w:rPr>
          <w:rFonts w:cs="Lucida Sans Unicode"/>
          <w:bCs/>
          <w:color w:val="0D0D0D"/>
          <w:sz w:val="24"/>
          <w:vertAlign w:val="superscript"/>
        </w:rPr>
        <w:t xml:space="preserve">® </w:t>
      </w:r>
      <w:r w:rsidRPr="002405A1">
        <w:rPr>
          <w:rFonts w:cs="Lucida Sans Unicode"/>
          <w:bCs/>
          <w:color w:val="0D0D0D"/>
          <w:sz w:val="24"/>
        </w:rPr>
        <w:t>Foamex 852 provides the critical additional defoaming strength you need – and remains just as compatible.</w:t>
      </w:r>
    </w:p>
    <w:p w14:paraId="65D30787" w14:textId="77777777" w:rsidR="002405A1" w:rsidRPr="002405A1" w:rsidRDefault="002405A1" w:rsidP="002405A1">
      <w:pPr>
        <w:rPr>
          <w:rFonts w:cs="Lucida Sans Unicode"/>
          <w:bCs/>
          <w:color w:val="0D0D0D"/>
          <w:sz w:val="24"/>
        </w:rPr>
      </w:pPr>
    </w:p>
    <w:p w14:paraId="6BD4C2F2" w14:textId="0DF8C43F" w:rsidR="002405A1" w:rsidRPr="002405A1" w:rsidRDefault="002405A1" w:rsidP="002405A1">
      <w:pPr>
        <w:rPr>
          <w:rFonts w:cs="Lucida Sans Unicode"/>
          <w:bCs/>
          <w:color w:val="0D0D0D"/>
          <w:sz w:val="24"/>
        </w:rPr>
      </w:pPr>
      <w:r w:rsidRPr="002405A1">
        <w:rPr>
          <w:rFonts w:cs="Lucida Sans Unicode"/>
          <w:bCs/>
          <w:color w:val="0D0D0D"/>
          <w:sz w:val="24"/>
        </w:rPr>
        <w:t>The new defoamer was specifically developed for printing ink application, and can be used to successfully meet Swiss A, FDA and China GB guidelines. TEGO</w:t>
      </w:r>
      <w:r w:rsidRPr="002405A1">
        <w:rPr>
          <w:rFonts w:cs="Lucida Sans Unicode"/>
          <w:bCs/>
          <w:color w:val="0D0D0D"/>
          <w:sz w:val="24"/>
          <w:vertAlign w:val="superscript"/>
        </w:rPr>
        <w:t>®</w:t>
      </w:r>
      <w:r w:rsidRPr="002405A1">
        <w:rPr>
          <w:rFonts w:cs="Lucida Sans Unicode"/>
          <w:bCs/>
          <w:color w:val="0D0D0D"/>
          <w:sz w:val="24"/>
        </w:rPr>
        <w:t xml:space="preserve"> Foamex 852 is a siloxane-based defoamer for waterborne formulations, is 100 % active and thereby also solvent-free. Further product benefits </w:t>
      </w:r>
      <w:proofErr w:type="gramStart"/>
      <w:r w:rsidRPr="002405A1">
        <w:rPr>
          <w:rFonts w:cs="Lucida Sans Unicode"/>
          <w:bCs/>
          <w:color w:val="0D0D0D"/>
          <w:sz w:val="24"/>
        </w:rPr>
        <w:t>include:</w:t>
      </w:r>
      <w:proofErr w:type="gramEnd"/>
      <w:r w:rsidRPr="002405A1">
        <w:rPr>
          <w:rFonts w:cs="Lucida Sans Unicode"/>
          <w:bCs/>
          <w:color w:val="0D0D0D"/>
          <w:sz w:val="24"/>
        </w:rPr>
        <w:t xml:space="preserve"> excellent shear stability and long-term effectiveness, which is particularly relevant for long print </w:t>
      </w:r>
      <w:r w:rsidRPr="002405A1">
        <w:rPr>
          <w:rFonts w:cs="Lucida Sans Unicode"/>
          <w:bCs/>
          <w:color w:val="0D0D0D"/>
          <w:sz w:val="24"/>
        </w:rPr>
        <w:lastRenderedPageBreak/>
        <w:t>runs or if the printing ink must be stored for long periods. Processing is also simple and flexible: The defoamer can be added at any stage of the printing ink manufacturing process.</w:t>
      </w:r>
    </w:p>
    <w:p w14:paraId="5C47B63F" w14:textId="77777777" w:rsidR="002405A1" w:rsidRPr="002405A1" w:rsidRDefault="002405A1" w:rsidP="002405A1">
      <w:pPr>
        <w:rPr>
          <w:rFonts w:cs="Lucida Sans Unicode"/>
          <w:bCs/>
          <w:color w:val="0D0D0D"/>
          <w:sz w:val="24"/>
        </w:rPr>
      </w:pPr>
    </w:p>
    <w:p w14:paraId="4627844D" w14:textId="77777777" w:rsidR="002405A1" w:rsidRPr="002405A1" w:rsidRDefault="002405A1" w:rsidP="002405A1">
      <w:pPr>
        <w:rPr>
          <w:rFonts w:cs="Lucida Sans Unicode"/>
          <w:bCs/>
          <w:color w:val="0D0D0D"/>
          <w:sz w:val="24"/>
        </w:rPr>
      </w:pPr>
      <w:r w:rsidRPr="002405A1">
        <w:rPr>
          <w:rFonts w:cs="Lucida Sans Unicode"/>
          <w:bCs/>
          <w:color w:val="0D0D0D"/>
          <w:sz w:val="24"/>
        </w:rPr>
        <w:t>Coating Additives is constantly working on expanding its existing portfolio and is already researching additional defoamers based on the new technology.</w:t>
      </w:r>
    </w:p>
    <w:p w14:paraId="750B49A6" w14:textId="5DFFC5A6" w:rsidR="002405A1" w:rsidRPr="002405A1" w:rsidRDefault="002405A1" w:rsidP="002405A1">
      <w:pPr>
        <w:rPr>
          <w:rFonts w:cs="Lucida Sans Unicode"/>
          <w:bCs/>
          <w:color w:val="0D0D0D"/>
          <w:sz w:val="24"/>
        </w:rPr>
      </w:pPr>
    </w:p>
    <w:p w14:paraId="4D1550AD" w14:textId="7B2324C7" w:rsidR="002405A1" w:rsidRPr="002405A1" w:rsidRDefault="002405A1" w:rsidP="002405A1">
      <w:pPr>
        <w:rPr>
          <w:rFonts w:cs="Lucida Sans Unicode"/>
          <w:bCs/>
          <w:color w:val="0D0D0D"/>
          <w:sz w:val="24"/>
        </w:rPr>
      </w:pPr>
      <w:r w:rsidRPr="002405A1">
        <w:rPr>
          <w:rFonts w:cs="Lucida Sans Unicode"/>
          <w:bCs/>
          <w:color w:val="0D0D0D"/>
          <w:sz w:val="24"/>
        </w:rPr>
        <w:t xml:space="preserve">You can find technical, regulatory and safety data sheets on TEGO® Foamex 852 at </w:t>
      </w:r>
      <w:hyperlink r:id="rId11" w:history="1">
        <w:r w:rsidRPr="002405A1">
          <w:rPr>
            <w:rFonts w:cs="Lucida Sans Unicode"/>
            <w:bCs/>
            <w:color w:val="0D0D0D"/>
            <w:sz w:val="24"/>
          </w:rPr>
          <w:t>www.coating-additives.com</w:t>
        </w:r>
      </w:hyperlink>
    </w:p>
    <w:p w14:paraId="45C4E1ED" w14:textId="2A706624" w:rsidR="002405A1" w:rsidRPr="00575307" w:rsidRDefault="002405A1" w:rsidP="002405A1">
      <w:pPr>
        <w:rPr>
          <w:rFonts w:ascii="Trebuchet MS" w:hAnsi="Trebuchet MS"/>
          <w:bCs/>
          <w:color w:val="0D0D0D"/>
          <w:sz w:val="20"/>
          <w:szCs w:val="20"/>
        </w:rPr>
      </w:pPr>
    </w:p>
    <w:p w14:paraId="2D1C1C36" w14:textId="77777777" w:rsidR="002405A1" w:rsidRPr="00575307" w:rsidRDefault="002405A1" w:rsidP="002405A1">
      <w:pPr>
        <w:rPr>
          <w:rFonts w:ascii="Trebuchet MS" w:hAnsi="Trebuchet MS"/>
          <w:b/>
          <w:bCs/>
          <w:color w:val="0D0D0D"/>
          <w:sz w:val="20"/>
          <w:szCs w:val="20"/>
        </w:rPr>
      </w:pPr>
    </w:p>
    <w:p w14:paraId="022DEF58" w14:textId="0BA13424" w:rsidR="005150A1" w:rsidRDefault="005150A1" w:rsidP="00311463">
      <w:pPr>
        <w:rPr>
          <w:rFonts w:ascii="Trebuchet MS" w:hAnsi="Trebuchet MS"/>
          <w:bCs/>
          <w:color w:val="0D0D0D"/>
          <w:sz w:val="20"/>
          <w:szCs w:val="20"/>
        </w:rPr>
      </w:pPr>
      <w:bookmarkStart w:id="0" w:name="_GoBack"/>
      <w:r>
        <w:rPr>
          <w:rFonts w:ascii="Trebuchet MS" w:hAnsi="Trebuchet MS"/>
          <w:bCs/>
          <w:noProof/>
          <w:color w:val="0D0D0D"/>
          <w:sz w:val="20"/>
          <w:szCs w:val="20"/>
        </w:rPr>
        <w:drawing>
          <wp:anchor distT="0" distB="0" distL="114300" distR="114300" simplePos="0" relativeHeight="251658240" behindDoc="0" locked="0" layoutInCell="1" allowOverlap="1" wp14:anchorId="4A925694" wp14:editId="109F6C3F">
            <wp:simplePos x="0" y="0"/>
            <wp:positionH relativeFrom="column">
              <wp:posOffset>-3174</wp:posOffset>
            </wp:positionH>
            <wp:positionV relativeFrom="paragraph">
              <wp:posOffset>40005</wp:posOffset>
            </wp:positionV>
            <wp:extent cx="2545080" cy="1665365"/>
            <wp:effectExtent l="0" t="0" r="7620" b="0"/>
            <wp:wrapNone/>
            <wp:docPr id="4" name="Grafik 4"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a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7676" cy="1667063"/>
                    </a:xfrm>
                    <a:prstGeom prst="rect">
                      <a:avLst/>
                    </a:prstGeom>
                  </pic:spPr>
                </pic:pic>
              </a:graphicData>
            </a:graphic>
            <wp14:sizeRelH relativeFrom="margin">
              <wp14:pctWidth>0</wp14:pctWidth>
            </wp14:sizeRelH>
            <wp14:sizeRelV relativeFrom="margin">
              <wp14:pctHeight>0</wp14:pctHeight>
            </wp14:sizeRelV>
          </wp:anchor>
        </w:drawing>
      </w:r>
    </w:p>
    <w:p w14:paraId="39E95A0A" w14:textId="77777777" w:rsidR="005150A1" w:rsidRDefault="005150A1" w:rsidP="00311463">
      <w:pPr>
        <w:rPr>
          <w:rFonts w:ascii="Trebuchet MS" w:hAnsi="Trebuchet MS"/>
          <w:bCs/>
          <w:color w:val="0D0D0D"/>
          <w:sz w:val="20"/>
          <w:szCs w:val="20"/>
        </w:rPr>
      </w:pPr>
    </w:p>
    <w:p w14:paraId="76269346" w14:textId="717FF0A5" w:rsidR="005150A1" w:rsidRDefault="005150A1" w:rsidP="00311463">
      <w:pPr>
        <w:rPr>
          <w:rFonts w:ascii="Trebuchet MS" w:hAnsi="Trebuchet MS"/>
          <w:bCs/>
          <w:color w:val="0D0D0D"/>
          <w:sz w:val="20"/>
          <w:szCs w:val="20"/>
        </w:rPr>
      </w:pPr>
    </w:p>
    <w:p w14:paraId="58516BF3" w14:textId="77777777" w:rsidR="005150A1" w:rsidRDefault="005150A1" w:rsidP="00311463">
      <w:pPr>
        <w:rPr>
          <w:rFonts w:ascii="Trebuchet MS" w:hAnsi="Trebuchet MS"/>
          <w:bCs/>
          <w:color w:val="0D0D0D"/>
          <w:sz w:val="20"/>
          <w:szCs w:val="20"/>
        </w:rPr>
      </w:pPr>
    </w:p>
    <w:p w14:paraId="1582217F" w14:textId="291E3CD2" w:rsidR="005150A1" w:rsidRDefault="005150A1" w:rsidP="00311463">
      <w:pPr>
        <w:rPr>
          <w:rFonts w:ascii="Trebuchet MS" w:hAnsi="Trebuchet MS"/>
          <w:bCs/>
          <w:color w:val="0D0D0D"/>
          <w:sz w:val="20"/>
          <w:szCs w:val="20"/>
        </w:rPr>
      </w:pPr>
    </w:p>
    <w:p w14:paraId="3F9D14B7" w14:textId="26295EFE" w:rsidR="005150A1" w:rsidRDefault="005150A1" w:rsidP="00311463">
      <w:pPr>
        <w:rPr>
          <w:rFonts w:ascii="Trebuchet MS" w:hAnsi="Trebuchet MS"/>
          <w:bCs/>
          <w:color w:val="0D0D0D"/>
          <w:sz w:val="20"/>
          <w:szCs w:val="20"/>
        </w:rPr>
      </w:pPr>
    </w:p>
    <w:p w14:paraId="4B0BC861" w14:textId="436F27DB" w:rsidR="005150A1" w:rsidRDefault="005150A1" w:rsidP="00311463">
      <w:pPr>
        <w:rPr>
          <w:rFonts w:ascii="Trebuchet MS" w:hAnsi="Trebuchet MS"/>
          <w:bCs/>
          <w:color w:val="0D0D0D"/>
          <w:sz w:val="20"/>
          <w:szCs w:val="20"/>
        </w:rPr>
      </w:pPr>
    </w:p>
    <w:p w14:paraId="5E5D1040" w14:textId="71BD0090" w:rsidR="005150A1" w:rsidRDefault="005150A1" w:rsidP="00311463">
      <w:pPr>
        <w:rPr>
          <w:rFonts w:ascii="Trebuchet MS" w:hAnsi="Trebuchet MS"/>
          <w:bCs/>
          <w:color w:val="0D0D0D"/>
          <w:sz w:val="20"/>
          <w:szCs w:val="20"/>
        </w:rPr>
      </w:pPr>
    </w:p>
    <w:p w14:paraId="06B8D4AC" w14:textId="7BC3836D" w:rsidR="005150A1" w:rsidRDefault="005150A1" w:rsidP="00311463">
      <w:pPr>
        <w:rPr>
          <w:rFonts w:ascii="Trebuchet MS" w:hAnsi="Trebuchet MS"/>
          <w:bCs/>
          <w:color w:val="0D0D0D"/>
          <w:sz w:val="20"/>
          <w:szCs w:val="20"/>
        </w:rPr>
      </w:pPr>
    </w:p>
    <w:p w14:paraId="1695EE9A" w14:textId="10EF431E" w:rsidR="005150A1" w:rsidRDefault="005150A1" w:rsidP="00311463">
      <w:pPr>
        <w:rPr>
          <w:rFonts w:ascii="Trebuchet MS" w:hAnsi="Trebuchet MS"/>
          <w:bCs/>
          <w:color w:val="0D0D0D"/>
          <w:sz w:val="20"/>
          <w:szCs w:val="20"/>
        </w:rPr>
      </w:pPr>
    </w:p>
    <w:p w14:paraId="45EEA014" w14:textId="1C2DF5AA" w:rsidR="005150A1" w:rsidRDefault="005150A1" w:rsidP="00311463">
      <w:pPr>
        <w:rPr>
          <w:rFonts w:ascii="Trebuchet MS" w:hAnsi="Trebuchet MS"/>
          <w:bCs/>
          <w:color w:val="0D0D0D"/>
          <w:sz w:val="20"/>
          <w:szCs w:val="20"/>
        </w:rPr>
      </w:pPr>
      <w:r>
        <w:rPr>
          <w:rFonts w:ascii="Trebuchet MS" w:hAnsi="Trebuchet MS"/>
          <w:bCs/>
          <w:noProof/>
          <w:color w:val="0D0D0D"/>
          <w:sz w:val="20"/>
          <w:szCs w:val="20"/>
        </w:rPr>
        <w:drawing>
          <wp:anchor distT="0" distB="0" distL="114300" distR="114300" simplePos="0" relativeHeight="251659264" behindDoc="0" locked="0" layoutInCell="1" allowOverlap="1" wp14:anchorId="54694784" wp14:editId="5ABCDE4C">
            <wp:simplePos x="0" y="0"/>
            <wp:positionH relativeFrom="column">
              <wp:posOffset>57785</wp:posOffset>
            </wp:positionH>
            <wp:positionV relativeFrom="paragraph">
              <wp:posOffset>47625</wp:posOffset>
            </wp:positionV>
            <wp:extent cx="2034540" cy="3050812"/>
            <wp:effectExtent l="0" t="0" r="3810" b="0"/>
            <wp:wrapNone/>
            <wp:docPr id="5" name="Grafik 5" descr="Ein Bild, das Lotion,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angensaf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6668" cy="3054003"/>
                    </a:xfrm>
                    <a:prstGeom prst="rect">
                      <a:avLst/>
                    </a:prstGeom>
                  </pic:spPr>
                </pic:pic>
              </a:graphicData>
            </a:graphic>
            <wp14:sizeRelH relativeFrom="margin">
              <wp14:pctWidth>0</wp14:pctWidth>
            </wp14:sizeRelH>
            <wp14:sizeRelV relativeFrom="margin">
              <wp14:pctHeight>0</wp14:pctHeight>
            </wp14:sizeRelV>
          </wp:anchor>
        </w:drawing>
      </w:r>
      <w:bookmarkEnd w:id="0"/>
    </w:p>
    <w:p w14:paraId="3D819E1F" w14:textId="5E1DBF76" w:rsidR="005150A1" w:rsidRDefault="005150A1" w:rsidP="00311463">
      <w:pPr>
        <w:rPr>
          <w:rFonts w:ascii="Trebuchet MS" w:hAnsi="Trebuchet MS"/>
          <w:bCs/>
          <w:color w:val="0D0D0D"/>
          <w:sz w:val="20"/>
          <w:szCs w:val="20"/>
        </w:rPr>
      </w:pPr>
    </w:p>
    <w:p w14:paraId="72B016DD" w14:textId="698CA731" w:rsidR="005150A1" w:rsidRDefault="005150A1" w:rsidP="00311463">
      <w:pPr>
        <w:rPr>
          <w:rFonts w:ascii="Trebuchet MS" w:hAnsi="Trebuchet MS"/>
          <w:bCs/>
          <w:color w:val="0D0D0D"/>
          <w:sz w:val="20"/>
          <w:szCs w:val="20"/>
        </w:rPr>
      </w:pPr>
    </w:p>
    <w:p w14:paraId="4883685D" w14:textId="40245E8D" w:rsidR="005150A1" w:rsidRDefault="005150A1" w:rsidP="00311463">
      <w:pPr>
        <w:rPr>
          <w:rFonts w:ascii="Trebuchet MS" w:hAnsi="Trebuchet MS"/>
          <w:bCs/>
          <w:color w:val="0D0D0D"/>
          <w:sz w:val="20"/>
          <w:szCs w:val="20"/>
        </w:rPr>
      </w:pPr>
    </w:p>
    <w:p w14:paraId="78349E19" w14:textId="0C5CE047" w:rsidR="005150A1" w:rsidRDefault="005150A1" w:rsidP="00311463">
      <w:pPr>
        <w:rPr>
          <w:rFonts w:ascii="Trebuchet MS" w:hAnsi="Trebuchet MS"/>
          <w:bCs/>
          <w:color w:val="0D0D0D"/>
          <w:sz w:val="20"/>
          <w:szCs w:val="20"/>
        </w:rPr>
      </w:pPr>
    </w:p>
    <w:p w14:paraId="05021B5C" w14:textId="2E87942B" w:rsidR="005150A1" w:rsidRDefault="005150A1" w:rsidP="00311463">
      <w:pPr>
        <w:rPr>
          <w:rFonts w:ascii="Trebuchet MS" w:hAnsi="Trebuchet MS"/>
          <w:bCs/>
          <w:color w:val="0D0D0D"/>
          <w:sz w:val="20"/>
          <w:szCs w:val="20"/>
        </w:rPr>
      </w:pPr>
    </w:p>
    <w:p w14:paraId="06814910" w14:textId="28DCA21C" w:rsidR="005150A1" w:rsidRDefault="005150A1" w:rsidP="00311463">
      <w:pPr>
        <w:rPr>
          <w:rFonts w:ascii="Trebuchet MS" w:hAnsi="Trebuchet MS"/>
          <w:bCs/>
          <w:color w:val="0D0D0D"/>
          <w:sz w:val="20"/>
          <w:szCs w:val="20"/>
        </w:rPr>
      </w:pPr>
    </w:p>
    <w:p w14:paraId="3343E7F6" w14:textId="4F268F66" w:rsidR="005150A1" w:rsidRDefault="005150A1" w:rsidP="00311463">
      <w:pPr>
        <w:rPr>
          <w:rFonts w:ascii="Trebuchet MS" w:hAnsi="Trebuchet MS"/>
          <w:bCs/>
          <w:color w:val="0D0D0D"/>
          <w:sz w:val="20"/>
          <w:szCs w:val="20"/>
        </w:rPr>
      </w:pPr>
    </w:p>
    <w:p w14:paraId="15581D64" w14:textId="706C36EE" w:rsidR="005150A1" w:rsidRDefault="005150A1" w:rsidP="00311463">
      <w:pPr>
        <w:rPr>
          <w:rFonts w:ascii="Trebuchet MS" w:hAnsi="Trebuchet MS"/>
          <w:bCs/>
          <w:color w:val="0D0D0D"/>
          <w:sz w:val="20"/>
          <w:szCs w:val="20"/>
        </w:rPr>
      </w:pPr>
    </w:p>
    <w:p w14:paraId="02842BBF" w14:textId="77777777" w:rsidR="005150A1" w:rsidRDefault="005150A1" w:rsidP="00311463">
      <w:pPr>
        <w:rPr>
          <w:rFonts w:ascii="Trebuchet MS" w:hAnsi="Trebuchet MS"/>
          <w:bCs/>
          <w:color w:val="0D0D0D"/>
          <w:sz w:val="20"/>
          <w:szCs w:val="20"/>
        </w:rPr>
      </w:pPr>
    </w:p>
    <w:p w14:paraId="65B6FEE0" w14:textId="385CD388" w:rsidR="005150A1" w:rsidRDefault="005150A1" w:rsidP="00311463">
      <w:pPr>
        <w:rPr>
          <w:rFonts w:ascii="Trebuchet MS" w:hAnsi="Trebuchet MS"/>
          <w:bCs/>
          <w:color w:val="0D0D0D"/>
          <w:sz w:val="20"/>
          <w:szCs w:val="20"/>
        </w:rPr>
      </w:pPr>
    </w:p>
    <w:p w14:paraId="5C2BE16B" w14:textId="77777777" w:rsidR="005150A1" w:rsidRDefault="005150A1" w:rsidP="00311463">
      <w:pPr>
        <w:rPr>
          <w:rFonts w:ascii="Trebuchet MS" w:hAnsi="Trebuchet MS"/>
          <w:bCs/>
          <w:color w:val="0D0D0D"/>
          <w:sz w:val="20"/>
          <w:szCs w:val="20"/>
        </w:rPr>
      </w:pPr>
    </w:p>
    <w:p w14:paraId="538D8394" w14:textId="690AEC90" w:rsidR="00311463" w:rsidRPr="00575307" w:rsidRDefault="00311463" w:rsidP="00311463">
      <w:pPr>
        <w:rPr>
          <w:rFonts w:ascii="Trebuchet MS" w:hAnsi="Trebuchet MS"/>
          <w:bCs/>
          <w:color w:val="0D0D0D"/>
          <w:sz w:val="20"/>
          <w:szCs w:val="20"/>
        </w:rPr>
      </w:pPr>
    </w:p>
    <w:p w14:paraId="76FDA040" w14:textId="32067CEC" w:rsidR="00311463" w:rsidRPr="00575307" w:rsidRDefault="00311463" w:rsidP="00311463">
      <w:pPr>
        <w:rPr>
          <w:rFonts w:ascii="Trebuchet MS" w:hAnsi="Trebuchet MS"/>
          <w:b/>
          <w:bCs/>
          <w:color w:val="0D0D0D"/>
          <w:sz w:val="20"/>
          <w:szCs w:val="20"/>
        </w:rPr>
      </w:pPr>
    </w:p>
    <w:p w14:paraId="2BB0C3D3" w14:textId="77777777" w:rsidR="007E3172" w:rsidRPr="00846360" w:rsidRDefault="007E3172" w:rsidP="007E3172"/>
    <w:p w14:paraId="4B1C33AC" w14:textId="77777777" w:rsidR="00C82F43" w:rsidRDefault="00C82F43" w:rsidP="00114F15">
      <w:pPr>
        <w:spacing w:line="220" w:lineRule="exact"/>
        <w:outlineLvl w:val="0"/>
        <w:rPr>
          <w:b/>
          <w:bCs/>
          <w:color w:val="000000"/>
          <w:sz w:val="18"/>
          <w:szCs w:val="18"/>
          <w:lang w:val="en-US"/>
        </w:rPr>
      </w:pPr>
    </w:p>
    <w:p w14:paraId="0979062D" w14:textId="77777777" w:rsidR="00C82F43" w:rsidRDefault="00C82F43" w:rsidP="00114F15">
      <w:pPr>
        <w:spacing w:line="220" w:lineRule="exact"/>
        <w:outlineLvl w:val="0"/>
        <w:rPr>
          <w:b/>
          <w:bCs/>
          <w:color w:val="000000"/>
          <w:sz w:val="18"/>
          <w:szCs w:val="18"/>
          <w:lang w:val="en-US"/>
        </w:rPr>
      </w:pPr>
    </w:p>
    <w:p w14:paraId="17B5707B" w14:textId="77777777" w:rsidR="00C82F43" w:rsidRDefault="00C82F43" w:rsidP="00114F15">
      <w:pPr>
        <w:spacing w:line="220" w:lineRule="exact"/>
        <w:outlineLvl w:val="0"/>
        <w:rPr>
          <w:b/>
          <w:bCs/>
          <w:color w:val="000000"/>
          <w:sz w:val="18"/>
          <w:szCs w:val="18"/>
          <w:lang w:val="en-US"/>
        </w:rPr>
      </w:pPr>
    </w:p>
    <w:p w14:paraId="34305C01" w14:textId="02EEA17A" w:rsidR="00114F15" w:rsidRDefault="00114F15" w:rsidP="00114F15">
      <w:pPr>
        <w:spacing w:line="220" w:lineRule="exact"/>
        <w:outlineLvl w:val="0"/>
        <w:rPr>
          <w:rFonts w:cs="Lucida Sans Unicode"/>
          <w:b/>
          <w:bCs/>
          <w:color w:val="000000"/>
          <w:sz w:val="18"/>
          <w:szCs w:val="18"/>
          <w:lang w:val="en-US"/>
        </w:rPr>
      </w:pPr>
      <w:r w:rsidRPr="000E30FB">
        <w:rPr>
          <w:b/>
          <w:bCs/>
          <w:color w:val="000000"/>
          <w:sz w:val="18"/>
          <w:szCs w:val="18"/>
          <w:lang w:val="en-US"/>
        </w:rPr>
        <w:lastRenderedPageBreak/>
        <w:t xml:space="preserve">Company information </w:t>
      </w:r>
    </w:p>
    <w:p w14:paraId="3E4674BF" w14:textId="77777777" w:rsidR="00114F15" w:rsidRDefault="00114F15" w:rsidP="00114F15">
      <w:pPr>
        <w:spacing w:line="220" w:lineRule="exact"/>
        <w:rPr>
          <w:sz w:val="18"/>
          <w:szCs w:val="18"/>
          <w:lang w:val="en-US"/>
        </w:rPr>
      </w:pPr>
      <w:r w:rsidRPr="000E30FB">
        <w:rPr>
          <w:sz w:val="18"/>
          <w:szCs w:val="18"/>
          <w:lang w:val="en-US"/>
        </w:rPr>
        <w:t>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We want to improve life, day by day.</w:t>
      </w:r>
    </w:p>
    <w:p w14:paraId="2FF989D2" w14:textId="77777777" w:rsidR="00114F15" w:rsidRDefault="00114F15" w:rsidP="00114F15">
      <w:pPr>
        <w:autoSpaceDE w:val="0"/>
        <w:autoSpaceDN w:val="0"/>
        <w:adjustRightInd w:val="0"/>
        <w:spacing w:line="220" w:lineRule="exact"/>
        <w:rPr>
          <w:rFonts w:cs="Lucida Sans Unicode"/>
          <w:b/>
          <w:bCs/>
          <w:sz w:val="18"/>
          <w:szCs w:val="18"/>
          <w:lang w:val="en-US"/>
        </w:rPr>
      </w:pPr>
    </w:p>
    <w:p w14:paraId="417B7937" w14:textId="77777777" w:rsidR="00114F15" w:rsidRPr="000E30FB" w:rsidRDefault="00114F15" w:rsidP="00114F15">
      <w:pPr>
        <w:spacing w:line="220" w:lineRule="exact"/>
        <w:outlineLvl w:val="0"/>
        <w:rPr>
          <w:b/>
          <w:bCs/>
          <w:color w:val="000000"/>
          <w:sz w:val="18"/>
          <w:szCs w:val="18"/>
          <w:lang w:val="en-US"/>
        </w:rPr>
      </w:pPr>
    </w:p>
    <w:p w14:paraId="38E61C7B" w14:textId="77777777" w:rsidR="00114F15" w:rsidRPr="000E30FB" w:rsidRDefault="00114F15" w:rsidP="00114F15">
      <w:pPr>
        <w:spacing w:line="220" w:lineRule="exact"/>
        <w:outlineLvl w:val="0"/>
        <w:rPr>
          <w:rFonts w:cs="Lucida Sans Unicode"/>
          <w:b/>
          <w:bCs/>
          <w:color w:val="000000"/>
          <w:sz w:val="18"/>
          <w:szCs w:val="18"/>
          <w:lang w:val="en-US"/>
        </w:rPr>
      </w:pPr>
      <w:r w:rsidRPr="000E30FB">
        <w:rPr>
          <w:b/>
          <w:bCs/>
          <w:color w:val="000000"/>
          <w:sz w:val="18"/>
          <w:szCs w:val="18"/>
          <w:lang w:val="en-US"/>
        </w:rPr>
        <w:t>Disclaimer</w:t>
      </w:r>
    </w:p>
    <w:p w14:paraId="6EDF6AEE" w14:textId="77777777" w:rsidR="00114F15" w:rsidRPr="000E30FB" w:rsidRDefault="00114F15" w:rsidP="00114F15">
      <w:pPr>
        <w:spacing w:line="220" w:lineRule="exact"/>
        <w:rPr>
          <w:rFonts w:cs="Lucida Sans Unicode"/>
          <w:szCs w:val="22"/>
          <w:lang w:val="en-US"/>
        </w:rPr>
      </w:pPr>
      <w:r w:rsidRPr="000E30FB">
        <w:rPr>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3D1BA91" w14:textId="0D4CF7D7" w:rsidR="00104B78" w:rsidRPr="00114F15" w:rsidRDefault="00104B78" w:rsidP="00114F15">
      <w:pPr>
        <w:spacing w:line="220" w:lineRule="exact"/>
        <w:rPr>
          <w:rFonts w:cs="Lucida Sans Unicode"/>
          <w:sz w:val="18"/>
          <w:szCs w:val="18"/>
          <w:lang w:val="en-US"/>
        </w:rPr>
      </w:pPr>
    </w:p>
    <w:sectPr w:rsidR="00104B78" w:rsidRPr="00114F15" w:rsidSect="005C5615">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1BA94" w14:textId="77777777" w:rsidR="00A80961" w:rsidRDefault="00A80961" w:rsidP="00FD1184">
      <w:r>
        <w:separator/>
      </w:r>
    </w:p>
  </w:endnote>
  <w:endnote w:type="continuationSeparator" w:id="0">
    <w:p w14:paraId="13D1BA95" w14:textId="77777777" w:rsidR="00A80961" w:rsidRDefault="00A8096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7" w14:textId="77777777" w:rsidR="00A80961" w:rsidRDefault="00A80961">
    <w:pPr>
      <w:pStyle w:val="Fuzeile"/>
    </w:pPr>
  </w:p>
  <w:p w14:paraId="13D1BA98" w14:textId="77777777" w:rsidR="00A80961" w:rsidRDefault="00A80961">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A" w14:textId="77777777" w:rsidR="00A80961" w:rsidRDefault="00A80961" w:rsidP="00316EC0">
    <w:pPr>
      <w:pStyle w:val="Fuzeile"/>
    </w:pPr>
  </w:p>
  <w:p w14:paraId="13D1BA9B" w14:textId="77777777" w:rsidR="00A80961" w:rsidRPr="005225EC" w:rsidRDefault="00A80961"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1BA92" w14:textId="77777777" w:rsidR="00A80961" w:rsidRDefault="00A80961" w:rsidP="00FD1184">
      <w:r>
        <w:separator/>
      </w:r>
    </w:p>
  </w:footnote>
  <w:footnote w:type="continuationSeparator" w:id="0">
    <w:p w14:paraId="13D1BA93" w14:textId="77777777" w:rsidR="00A80961" w:rsidRDefault="00A80961"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6" w14:textId="320F2804" w:rsidR="00A80961" w:rsidRPr="003F4CD0" w:rsidRDefault="00CB00A0" w:rsidP="00316EC0">
    <w:pPr>
      <w:pStyle w:val="Kopfzeile"/>
      <w:spacing w:after="1880"/>
      <w:rPr>
        <w:sz w:val="2"/>
        <w:szCs w:val="2"/>
      </w:rPr>
    </w:pPr>
    <w:r>
      <w:rPr>
        <w:noProof/>
      </w:rPr>
      <w:drawing>
        <wp:anchor distT="0" distB="0" distL="114300" distR="114300" simplePos="0" relativeHeight="251667456" behindDoc="1" locked="0" layoutInCell="1" allowOverlap="1" wp14:anchorId="0A7EE557" wp14:editId="3280E01E">
          <wp:simplePos x="0" y="0"/>
          <wp:positionH relativeFrom="page">
            <wp:posOffset>5146675</wp:posOffset>
          </wp:positionH>
          <wp:positionV relativeFrom="page">
            <wp:posOffset>488315</wp:posOffset>
          </wp:positionV>
          <wp:extent cx="1871980" cy="5003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sidR="00A80961" w:rsidRPr="003F4CD0">
      <w:rPr>
        <w:noProof/>
        <w:sz w:val="2"/>
        <w:szCs w:val="2"/>
        <w:lang w:val="de-DE"/>
      </w:rPr>
      <w:drawing>
        <wp:anchor distT="0" distB="0" distL="114300" distR="114300" simplePos="0" relativeHeight="251663360" behindDoc="1" locked="0" layoutInCell="1" allowOverlap="1" wp14:anchorId="13D1BA9C" wp14:editId="13D1BA9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1BA99" w14:textId="3502F45A" w:rsidR="00A80961" w:rsidRPr="003F4CD0" w:rsidRDefault="00A80961">
    <w:pPr>
      <w:pStyle w:val="Kopfzeile"/>
      <w:rPr>
        <w:sz w:val="2"/>
        <w:szCs w:val="2"/>
      </w:rPr>
    </w:pPr>
    <w:r>
      <w:rPr>
        <w:noProof/>
      </w:rPr>
      <w:drawing>
        <wp:anchor distT="0" distB="0" distL="114300" distR="114300" simplePos="0" relativeHeight="251665408" behindDoc="1" locked="0" layoutInCell="1" allowOverlap="1" wp14:anchorId="05467697" wp14:editId="26A8FBE4">
          <wp:simplePos x="0" y="0"/>
          <wp:positionH relativeFrom="page">
            <wp:posOffset>5229225</wp:posOffset>
          </wp:positionH>
          <wp:positionV relativeFrom="page">
            <wp:posOffset>459163</wp:posOffset>
          </wp:positionV>
          <wp:extent cx="1871980" cy="5003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sidRPr="003F4CD0">
      <w:rPr>
        <w:noProof/>
        <w:sz w:val="2"/>
        <w:szCs w:val="2"/>
        <w:lang w:val="de-DE"/>
      </w:rPr>
      <w:drawing>
        <wp:anchor distT="0" distB="0" distL="114300" distR="114300" simplePos="0" relativeHeight="251661312" behindDoc="1" locked="0" layoutInCell="1" allowOverlap="1" wp14:anchorId="13D1BAA0" wp14:editId="03E1E4F7">
          <wp:simplePos x="0" y="0"/>
          <wp:positionH relativeFrom="column">
            <wp:posOffset>-635</wp:posOffset>
          </wp:positionH>
          <wp:positionV relativeFrom="paragraph">
            <wp:posOffset>-19050</wp:posOffset>
          </wp:positionV>
          <wp:extent cx="1065530" cy="15113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530" cy="151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4F3B20"/>
    <w:multiLevelType w:val="hybridMultilevel"/>
    <w:tmpl w:val="E8328B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46A49C4"/>
    <w:multiLevelType w:val="hybridMultilevel"/>
    <w:tmpl w:val="37C04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DAE2D5C"/>
    <w:multiLevelType w:val="hybridMultilevel"/>
    <w:tmpl w:val="964C8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D47B15"/>
    <w:multiLevelType w:val="hybridMultilevel"/>
    <w:tmpl w:val="5E0AF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1874CB"/>
    <w:multiLevelType w:val="hybridMultilevel"/>
    <w:tmpl w:val="C7E63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5"/>
  </w:num>
  <w:num w:numId="14">
    <w:abstractNumId w:val="10"/>
  </w:num>
  <w:num w:numId="15">
    <w:abstractNumId w:val="22"/>
  </w:num>
  <w:num w:numId="16">
    <w:abstractNumId w:val="20"/>
  </w:num>
  <w:num w:numId="17">
    <w:abstractNumId w:val="11"/>
  </w:num>
  <w:num w:numId="18">
    <w:abstractNumId w:val="13"/>
  </w:num>
  <w:num w:numId="19">
    <w:abstractNumId w:val="17"/>
  </w:num>
  <w:num w:numId="20">
    <w:abstractNumId w:val="1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9"/>
  </w:num>
  <w:num w:numId="34">
    <w:abstractNumId w:val="12"/>
  </w:num>
  <w:num w:numId="35">
    <w:abstractNumId w:val="21"/>
  </w:num>
  <w:num w:numId="36">
    <w:abstractNumId w:val="1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20EC3"/>
    <w:rsid w:val="00035360"/>
    <w:rsid w:val="0003679C"/>
    <w:rsid w:val="00046C72"/>
    <w:rsid w:val="00047E57"/>
    <w:rsid w:val="00057982"/>
    <w:rsid w:val="00057FE4"/>
    <w:rsid w:val="00066D1A"/>
    <w:rsid w:val="00084555"/>
    <w:rsid w:val="00086556"/>
    <w:rsid w:val="00092F83"/>
    <w:rsid w:val="000A0DDB"/>
    <w:rsid w:val="000B4D73"/>
    <w:rsid w:val="000D081A"/>
    <w:rsid w:val="000D1DD8"/>
    <w:rsid w:val="000D7DF9"/>
    <w:rsid w:val="000E06AB"/>
    <w:rsid w:val="000E2184"/>
    <w:rsid w:val="000F70A3"/>
    <w:rsid w:val="000F7816"/>
    <w:rsid w:val="00104B78"/>
    <w:rsid w:val="00114F15"/>
    <w:rsid w:val="00124443"/>
    <w:rsid w:val="00142BD1"/>
    <w:rsid w:val="0014346F"/>
    <w:rsid w:val="00152639"/>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05A1"/>
    <w:rsid w:val="00241117"/>
    <w:rsid w:val="002427AA"/>
    <w:rsid w:val="0024351A"/>
    <w:rsid w:val="0024351E"/>
    <w:rsid w:val="0027659F"/>
    <w:rsid w:val="00287090"/>
    <w:rsid w:val="00287726"/>
    <w:rsid w:val="00290F07"/>
    <w:rsid w:val="002A3233"/>
    <w:rsid w:val="002B1589"/>
    <w:rsid w:val="002B6293"/>
    <w:rsid w:val="002B645E"/>
    <w:rsid w:val="002C10C6"/>
    <w:rsid w:val="002C12A0"/>
    <w:rsid w:val="002C1527"/>
    <w:rsid w:val="002D206A"/>
    <w:rsid w:val="002D2996"/>
    <w:rsid w:val="002D35F5"/>
    <w:rsid w:val="002D5F0C"/>
    <w:rsid w:val="002F364E"/>
    <w:rsid w:val="002F49B3"/>
    <w:rsid w:val="00301998"/>
    <w:rsid w:val="003067D4"/>
    <w:rsid w:val="0031020E"/>
    <w:rsid w:val="00310BD6"/>
    <w:rsid w:val="00311463"/>
    <w:rsid w:val="00316EC0"/>
    <w:rsid w:val="00345B60"/>
    <w:rsid w:val="003508E4"/>
    <w:rsid w:val="00364D2E"/>
    <w:rsid w:val="00367974"/>
    <w:rsid w:val="00367C0F"/>
    <w:rsid w:val="00380845"/>
    <w:rsid w:val="00383CBD"/>
    <w:rsid w:val="00384C52"/>
    <w:rsid w:val="003867B7"/>
    <w:rsid w:val="003A023D"/>
    <w:rsid w:val="003C0198"/>
    <w:rsid w:val="003D6E84"/>
    <w:rsid w:val="003E4D56"/>
    <w:rsid w:val="003F4CD0"/>
    <w:rsid w:val="004016F5"/>
    <w:rsid w:val="004146D3"/>
    <w:rsid w:val="00422338"/>
    <w:rsid w:val="00424F52"/>
    <w:rsid w:val="004343B6"/>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50A1"/>
    <w:rsid w:val="00516C49"/>
    <w:rsid w:val="0052218C"/>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1F05"/>
    <w:rsid w:val="00652A75"/>
    <w:rsid w:val="006651E2"/>
    <w:rsid w:val="0069597F"/>
    <w:rsid w:val="006A581A"/>
    <w:rsid w:val="006A5A6B"/>
    <w:rsid w:val="006C6EA8"/>
    <w:rsid w:val="006D601A"/>
    <w:rsid w:val="006E18CB"/>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3172"/>
    <w:rsid w:val="007E591C"/>
    <w:rsid w:val="007E7C76"/>
    <w:rsid w:val="007F1506"/>
    <w:rsid w:val="007F200A"/>
    <w:rsid w:val="007F3646"/>
    <w:rsid w:val="007F59C2"/>
    <w:rsid w:val="007F7820"/>
    <w:rsid w:val="00800AA9"/>
    <w:rsid w:val="0081515B"/>
    <w:rsid w:val="00816BD2"/>
    <w:rsid w:val="00825D88"/>
    <w:rsid w:val="008352AA"/>
    <w:rsid w:val="00836B9A"/>
    <w:rsid w:val="0084389E"/>
    <w:rsid w:val="00846360"/>
    <w:rsid w:val="00860A6B"/>
    <w:rsid w:val="00864244"/>
    <w:rsid w:val="008758F5"/>
    <w:rsid w:val="0088508F"/>
    <w:rsid w:val="00885442"/>
    <w:rsid w:val="00897078"/>
    <w:rsid w:val="008A0D35"/>
    <w:rsid w:val="008A2AE8"/>
    <w:rsid w:val="008A6BCD"/>
    <w:rsid w:val="008B03E0"/>
    <w:rsid w:val="008B7AFE"/>
    <w:rsid w:val="008C00D3"/>
    <w:rsid w:val="008C52EF"/>
    <w:rsid w:val="008E7921"/>
    <w:rsid w:val="008F49C5"/>
    <w:rsid w:val="0090621C"/>
    <w:rsid w:val="00920F2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17941"/>
    <w:rsid w:val="00A27B9B"/>
    <w:rsid w:val="00A30BD0"/>
    <w:rsid w:val="00A333FB"/>
    <w:rsid w:val="00A34137"/>
    <w:rsid w:val="00A3644E"/>
    <w:rsid w:val="00A41C88"/>
    <w:rsid w:val="00A5077F"/>
    <w:rsid w:val="00A60CE5"/>
    <w:rsid w:val="00A62339"/>
    <w:rsid w:val="00A70C5E"/>
    <w:rsid w:val="00A712B8"/>
    <w:rsid w:val="00A804CC"/>
    <w:rsid w:val="00A80961"/>
    <w:rsid w:val="00A81F2D"/>
    <w:rsid w:val="00A92776"/>
    <w:rsid w:val="00A97CD7"/>
    <w:rsid w:val="00A97EAD"/>
    <w:rsid w:val="00AA15C6"/>
    <w:rsid w:val="00AE3848"/>
    <w:rsid w:val="00AF0606"/>
    <w:rsid w:val="00AF6529"/>
    <w:rsid w:val="00AF7D27"/>
    <w:rsid w:val="00B14AE6"/>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82F43"/>
    <w:rsid w:val="00C930F0"/>
    <w:rsid w:val="00C94042"/>
    <w:rsid w:val="00CA6F45"/>
    <w:rsid w:val="00CB00A0"/>
    <w:rsid w:val="00CB3A53"/>
    <w:rsid w:val="00CD1EE7"/>
    <w:rsid w:val="00CE2E92"/>
    <w:rsid w:val="00CF2E07"/>
    <w:rsid w:val="00CF3942"/>
    <w:rsid w:val="00D05BB9"/>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95D57"/>
    <w:rsid w:val="00DA49BA"/>
    <w:rsid w:val="00DB3E3C"/>
    <w:rsid w:val="00DC1267"/>
    <w:rsid w:val="00DC1494"/>
    <w:rsid w:val="00DC65BB"/>
    <w:rsid w:val="00DE534A"/>
    <w:rsid w:val="00DE7AB7"/>
    <w:rsid w:val="00E012F7"/>
    <w:rsid w:val="00E05BB2"/>
    <w:rsid w:val="00E120CF"/>
    <w:rsid w:val="00E172A1"/>
    <w:rsid w:val="00E17C9E"/>
    <w:rsid w:val="00E17FDD"/>
    <w:rsid w:val="00E363F0"/>
    <w:rsid w:val="00E430EA"/>
    <w:rsid w:val="00E44B62"/>
    <w:rsid w:val="00E46D1E"/>
    <w:rsid w:val="00E6418A"/>
    <w:rsid w:val="00E67EA2"/>
    <w:rsid w:val="00E753FC"/>
    <w:rsid w:val="00E86454"/>
    <w:rsid w:val="00E8737C"/>
    <w:rsid w:val="00E97290"/>
    <w:rsid w:val="00EA7E4E"/>
    <w:rsid w:val="00EB0C3E"/>
    <w:rsid w:val="00EC012C"/>
    <w:rsid w:val="00EC2C4D"/>
    <w:rsid w:val="00ED1DEA"/>
    <w:rsid w:val="00ED3808"/>
    <w:rsid w:val="00EF0687"/>
    <w:rsid w:val="00EF7EB3"/>
    <w:rsid w:val="00F018DC"/>
    <w:rsid w:val="00F1557C"/>
    <w:rsid w:val="00F5602B"/>
    <w:rsid w:val="00F6598A"/>
    <w:rsid w:val="00F66FEE"/>
    <w:rsid w:val="00F94E80"/>
    <w:rsid w:val="00F96B9B"/>
    <w:rsid w:val="00FA151A"/>
    <w:rsid w:val="00FA5F5C"/>
    <w:rsid w:val="00FB316C"/>
    <w:rsid w:val="00FC7A2A"/>
    <w:rsid w:val="00FD0461"/>
    <w:rsid w:val="00FD1184"/>
    <w:rsid w:val="00FD5D2A"/>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3D1BA56"/>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D552B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864244"/>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8135">
      <w:bodyDiv w:val="1"/>
      <w:marLeft w:val="0"/>
      <w:marRight w:val="0"/>
      <w:marTop w:val="0"/>
      <w:marBottom w:val="0"/>
      <w:divBdr>
        <w:top w:val="none" w:sz="0" w:space="0" w:color="auto"/>
        <w:left w:val="none" w:sz="0" w:space="0" w:color="auto"/>
        <w:bottom w:val="none" w:sz="0" w:space="0" w:color="auto"/>
        <w:right w:val="none" w:sz="0" w:space="0" w:color="auto"/>
      </w:divBdr>
    </w:div>
    <w:div w:id="731924048">
      <w:bodyDiv w:val="1"/>
      <w:marLeft w:val="0"/>
      <w:marRight w:val="0"/>
      <w:marTop w:val="0"/>
      <w:marBottom w:val="0"/>
      <w:divBdr>
        <w:top w:val="none" w:sz="0" w:space="0" w:color="auto"/>
        <w:left w:val="none" w:sz="0" w:space="0" w:color="auto"/>
        <w:bottom w:val="none" w:sz="0" w:space="0" w:color="auto"/>
        <w:right w:val="none" w:sz="0" w:space="0" w:color="auto"/>
      </w:divBdr>
    </w:div>
    <w:div w:id="907036035">
      <w:bodyDiv w:val="1"/>
      <w:marLeft w:val="0"/>
      <w:marRight w:val="0"/>
      <w:marTop w:val="0"/>
      <w:marBottom w:val="0"/>
      <w:divBdr>
        <w:top w:val="none" w:sz="0" w:space="0" w:color="auto"/>
        <w:left w:val="none" w:sz="0" w:space="0" w:color="auto"/>
        <w:bottom w:val="none" w:sz="0" w:space="0" w:color="auto"/>
        <w:right w:val="none" w:sz="0" w:space="0" w:color="auto"/>
      </w:divBdr>
    </w:div>
    <w:div w:id="197552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ating-additive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voni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itle xmlns="c9d69675-c952-4463-a370-64d93cb945ad">PR-TEGO Foamex 852-en</DocumentTitle>
    <Website xmlns="c9d69675-c952-4463-a370-64d93cb945ad">
      <Value>Current</Value>
    </Website>
    <LanguageTree xmlns="c9d69675-c952-4463-a370-64d93cb945ad">
      <Value>EN</Value>
    </LanguageTree>
    <FirstCategoryGroup xmlns="c9d69675-c952-4463-a370-64d93cb945ad">Press Releases</FirstCategoryGroup>
    <Markets xmlns="c9d69675-c952-4463-a370-64d93cb945ad">
      <Value>Printing Inks</Value>
      <Value>General</Value>
    </Markets>
    <SourceID xmlns="c9d69675-c952-4463-a370-64d93cb945ad" xsi:nil="true"/>
    <Description0 xmlns="c9d69675-c952-4463-a370-64d93cb945ad" xsi:nil="true"/>
    <Date xmlns="c9d69675-c952-4463-a370-64d93cb945ad" xsi:nil="true"/>
    <DocumentLanguage xmlns="c9d69675-c952-4463-a370-64d93cb945ad">
      <Value>EN</Value>
    </DocumentLanguage>
    <ThumbnailLinkUrl xmlns="c9d69675-c952-4463-a370-64d93cb945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DBF37-0D28-443A-9112-93210F2293A3}">
  <ds:schemaRefs>
    <ds:schemaRef ds:uri="http://schemas.microsoft.com/sharepoint/v3/contenttype/forms"/>
  </ds:schemaRefs>
</ds:datastoreItem>
</file>

<file path=customXml/itemProps2.xml><?xml version="1.0" encoding="utf-8"?>
<ds:datastoreItem xmlns:ds="http://schemas.openxmlformats.org/officeDocument/2006/customXml" ds:itemID="{B4D77B9B-E19B-4F60-A094-0BFDCD5BA2C4}">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2345d9ce-fe7f-4e7e-a7de-4b6d8536607e"/>
    <ds:schemaRef ds:uri="http://www.w3.org/XML/1998/namespace"/>
  </ds:schemaRefs>
</ds:datastoreItem>
</file>

<file path=customXml/itemProps3.xml><?xml version="1.0" encoding="utf-8"?>
<ds:datastoreItem xmlns:ds="http://schemas.openxmlformats.org/officeDocument/2006/customXml" ds:itemID="{C8414C12-E910-407E-A236-9FF1C8D45245}"/>
</file>

<file path=docProps/app.xml><?xml version="1.0" encoding="utf-8"?>
<Properties xmlns="http://schemas.openxmlformats.org/officeDocument/2006/extended-properties" xmlns:vt="http://schemas.openxmlformats.org/officeDocument/2006/docPropsVTypes">
  <Template>D20D2534.dotm</Template>
  <TotalTime>0</TotalTime>
  <Pages>3</Pages>
  <Words>529</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3750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Kaufhold, Julia</cp:lastModifiedBy>
  <cp:revision>7</cp:revision>
  <cp:lastPrinted>2020-08-19T09:43:00Z</cp:lastPrinted>
  <dcterms:created xsi:type="dcterms:W3CDTF">2020-07-29T07:43:00Z</dcterms:created>
  <dcterms:modified xsi:type="dcterms:W3CDTF">2020-08-19T09:43:00Z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